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E5901" w14:textId="77777777" w:rsidR="00E55755" w:rsidRPr="00505F89" w:rsidRDefault="00E55755" w:rsidP="00F85417">
      <w:pPr>
        <w:spacing w:line="276" w:lineRule="auto"/>
        <w:jc w:val="center"/>
        <w:rPr>
          <w:rFonts w:ascii="Times New Roman" w:hAnsi="Times New Roman" w:cs="Times New Roman"/>
          <w:b/>
          <w:bCs/>
          <w:sz w:val="24"/>
          <w:szCs w:val="24"/>
        </w:rPr>
      </w:pPr>
      <w:r w:rsidRPr="00505F89">
        <w:rPr>
          <w:rFonts w:ascii="Times New Roman" w:hAnsi="Times New Roman" w:cs="Times New Roman"/>
          <w:b/>
          <w:bCs/>
          <w:sz w:val="24"/>
          <w:szCs w:val="24"/>
        </w:rPr>
        <w:t>Uranyl Cluster Assemblies for the Separation of Uranium</w:t>
      </w:r>
    </w:p>
    <w:p w14:paraId="7B096B3A" w14:textId="77777777" w:rsidR="00E55755" w:rsidRPr="00505F89" w:rsidRDefault="00E55755" w:rsidP="00F85417">
      <w:pPr>
        <w:spacing w:line="276" w:lineRule="auto"/>
        <w:rPr>
          <w:rFonts w:ascii="Times New Roman" w:hAnsi="Times New Roman" w:cs="Times New Roman"/>
          <w:sz w:val="24"/>
          <w:szCs w:val="24"/>
        </w:rPr>
      </w:pPr>
      <w:r w:rsidRPr="00505F89">
        <w:rPr>
          <w:rFonts w:ascii="Times New Roman" w:hAnsi="Times New Roman" w:cs="Times New Roman"/>
          <w:sz w:val="24"/>
          <w:szCs w:val="24"/>
        </w:rPr>
        <w:t>Muhammad Hamza Ansar                     Literature Seminar                                October 18</w:t>
      </w:r>
      <w:r w:rsidRPr="00505F89">
        <w:rPr>
          <w:rFonts w:ascii="Times New Roman" w:hAnsi="Times New Roman" w:cs="Times New Roman"/>
          <w:sz w:val="24"/>
          <w:szCs w:val="24"/>
          <w:vertAlign w:val="superscript"/>
        </w:rPr>
        <w:t>th</w:t>
      </w:r>
      <w:r w:rsidRPr="00505F89">
        <w:rPr>
          <w:rFonts w:ascii="Times New Roman" w:hAnsi="Times New Roman" w:cs="Times New Roman"/>
          <w:sz w:val="24"/>
          <w:szCs w:val="24"/>
        </w:rPr>
        <w:t>, 2022</w:t>
      </w:r>
    </w:p>
    <w:p w14:paraId="3363978B" w14:textId="77777777" w:rsidR="00E55755" w:rsidRPr="00505F89" w:rsidRDefault="00E55755" w:rsidP="00F85417">
      <w:pPr>
        <w:spacing w:line="276" w:lineRule="auto"/>
        <w:jc w:val="both"/>
        <w:rPr>
          <w:rFonts w:ascii="Times New Roman" w:hAnsi="Times New Roman" w:cs="Times New Roman"/>
          <w:sz w:val="24"/>
          <w:szCs w:val="24"/>
        </w:rPr>
      </w:pPr>
    </w:p>
    <w:p w14:paraId="0EB9728F" w14:textId="78F574E1" w:rsidR="00E55755" w:rsidRPr="00505F89" w:rsidRDefault="00E55755" w:rsidP="00F85417">
      <w:pPr>
        <w:spacing w:line="276" w:lineRule="auto"/>
        <w:ind w:firstLine="720"/>
        <w:jc w:val="both"/>
        <w:rPr>
          <w:rFonts w:ascii="Times New Roman" w:hAnsi="Times New Roman" w:cs="Times New Roman"/>
          <w:sz w:val="24"/>
          <w:szCs w:val="24"/>
        </w:rPr>
      </w:pPr>
      <w:r w:rsidRPr="00505F89">
        <w:rPr>
          <w:rFonts w:ascii="Times New Roman" w:hAnsi="Times New Roman" w:cs="Times New Roman"/>
          <w:sz w:val="24"/>
          <w:szCs w:val="24"/>
        </w:rPr>
        <w:t xml:space="preserve">Uranium (Z = 92) in the form its isotope </w:t>
      </w:r>
      <w:r w:rsidRPr="00505F89">
        <w:rPr>
          <w:rFonts w:ascii="Times New Roman" w:hAnsi="Times New Roman" w:cs="Times New Roman"/>
          <w:sz w:val="24"/>
          <w:szCs w:val="24"/>
          <w:vertAlign w:val="superscript"/>
        </w:rPr>
        <w:t>235</w:t>
      </w:r>
      <w:r w:rsidRPr="00505F89">
        <w:rPr>
          <w:rFonts w:ascii="Times New Roman" w:hAnsi="Times New Roman" w:cs="Times New Roman"/>
          <w:sz w:val="24"/>
          <w:szCs w:val="24"/>
        </w:rPr>
        <w:t xml:space="preserve">U is used in fission nuclear reactors for generation of electricity. As of 2020, there are 442 nuclear power stations distributed across 32 countries with a cumulative capacity of </w:t>
      </w:r>
      <w:r w:rsidR="00404D30" w:rsidRPr="00505F89">
        <w:rPr>
          <w:rFonts w:ascii="Times New Roman" w:hAnsi="Times New Roman" w:cs="Times New Roman"/>
          <w:sz w:val="24"/>
          <w:szCs w:val="24"/>
        </w:rPr>
        <w:t xml:space="preserve"> </w:t>
      </w:r>
      <w:r w:rsidRPr="00505F89">
        <w:rPr>
          <w:rFonts w:ascii="Times New Roman" w:hAnsi="Times New Roman" w:cs="Times New Roman"/>
          <w:sz w:val="24"/>
          <w:szCs w:val="24"/>
        </w:rPr>
        <w:t>392.6 gigawatts of electrical energy.</w:t>
      </w:r>
      <w:r w:rsidR="001B47F3" w:rsidRPr="00505F89">
        <w:rPr>
          <w:rFonts w:ascii="Times New Roman" w:hAnsi="Times New Roman" w:cs="Times New Roman"/>
          <w:sz w:val="24"/>
          <w:szCs w:val="24"/>
        </w:rPr>
        <w:fldChar w:fldCharType="begin"/>
      </w:r>
      <w:r w:rsidR="001B47F3" w:rsidRPr="00505F89">
        <w:rPr>
          <w:rFonts w:ascii="Times New Roman" w:hAnsi="Times New Roman" w:cs="Times New Roman"/>
          <w:sz w:val="24"/>
          <w:szCs w:val="24"/>
        </w:rPr>
        <w:instrText xml:space="preserve"> ADDIN EN.CITE &lt;EndNote&gt;&lt;Cite&gt;&lt;Year&gt;2020&lt;/Year&gt;&lt;RecNum&gt;33&lt;/RecNum&gt;&lt;DisplayText&gt;&lt;style face="superscript"&gt;1&lt;/style&gt;&lt;/DisplayText&gt;&lt;record&gt;&lt;rec-number&gt;33&lt;/rec-number&gt;&lt;foreign-keys&gt;&lt;key app="EN" db-id="25rxa2te7frr21efrtj5evr8vxrresw5vawx" timestamp="1665622685"&gt;33&lt;/key&gt;&lt;/foreign-keys&gt;&lt;ref-type name="Report"&gt;27&lt;/ref-type&gt;&lt;contributors&gt;&lt;/contributors&gt;&lt;titles&gt;&lt;title&gt;IAEA Annual Report for 2020&lt;/title&gt;&lt;/titles&gt;&lt;dates&gt;&lt;year&gt;2020&lt;/year&gt;&lt;/dates&gt;&lt;publisher&gt;International Atomic Energy Agency &lt;/publisher&gt;&lt;urls&gt;&lt;/urls&gt;&lt;/record&gt;&lt;/Cite&gt;&lt;/EndNote&gt;</w:instrText>
      </w:r>
      <w:r w:rsidR="001B47F3" w:rsidRPr="00505F89">
        <w:rPr>
          <w:rFonts w:ascii="Times New Roman" w:hAnsi="Times New Roman" w:cs="Times New Roman"/>
          <w:sz w:val="24"/>
          <w:szCs w:val="24"/>
        </w:rPr>
        <w:fldChar w:fldCharType="separate"/>
      </w:r>
      <w:r w:rsidR="001B47F3" w:rsidRPr="00505F89">
        <w:rPr>
          <w:rFonts w:ascii="Times New Roman" w:hAnsi="Times New Roman" w:cs="Times New Roman"/>
          <w:noProof/>
          <w:sz w:val="24"/>
          <w:szCs w:val="24"/>
          <w:vertAlign w:val="superscript"/>
        </w:rPr>
        <w:t>1</w:t>
      </w:r>
      <w:r w:rsidR="001B47F3" w:rsidRPr="00505F89">
        <w:rPr>
          <w:rFonts w:ascii="Times New Roman" w:hAnsi="Times New Roman" w:cs="Times New Roman"/>
          <w:sz w:val="24"/>
          <w:szCs w:val="24"/>
        </w:rPr>
        <w:fldChar w:fldCharType="end"/>
      </w:r>
      <w:r w:rsidRPr="00505F89">
        <w:rPr>
          <w:rFonts w:ascii="Times New Roman" w:hAnsi="Times New Roman" w:cs="Times New Roman"/>
          <w:sz w:val="24"/>
          <w:szCs w:val="24"/>
        </w:rPr>
        <w:t xml:space="preserve"> Uranium is also used in production of radioisotopes for medicinal purposes and for powering up secluded systems such as naval vessels.</w:t>
      </w:r>
      <w:r w:rsidR="005E0D25" w:rsidRPr="00505F89">
        <w:rPr>
          <w:rFonts w:ascii="Times New Roman" w:hAnsi="Times New Roman" w:cs="Times New Roman"/>
          <w:sz w:val="24"/>
          <w:szCs w:val="24"/>
        </w:rPr>
        <w:fldChar w:fldCharType="begin"/>
      </w:r>
      <w:r w:rsidR="005E0D25" w:rsidRPr="00505F89">
        <w:rPr>
          <w:rFonts w:ascii="Times New Roman" w:hAnsi="Times New Roman" w:cs="Times New Roman"/>
          <w:sz w:val="24"/>
          <w:szCs w:val="24"/>
        </w:rPr>
        <w:instrText xml:space="preserve"> ADDIN EN.CITE &lt;EndNote&gt;&lt;Cite&gt;&lt;Author&gt;Beltrami&lt;/Author&gt;&lt;Year&gt;2014&lt;/Year&gt;&lt;RecNum&gt;27&lt;/RecNum&gt;&lt;DisplayText&gt;&lt;style face="superscript"&gt;2&lt;/style&gt;&lt;/DisplayText&gt;&lt;record&gt;&lt;rec-number&gt;27&lt;/rec-number&gt;&lt;foreign-keys&gt;&lt;key app="EN" db-id="25rxa2te7frr21efrtj5evr8vxrresw5vawx" timestamp="1665548874"&gt;27&lt;/key&gt;&lt;/foreign-keys&gt;&lt;ref-type name="Journal Article"&gt;17&lt;/ref-type&gt;&lt;contributors&gt;&lt;authors&gt;&lt;author&gt;Beltrami, Denis&lt;/author&gt;&lt;author&gt;Cote, Gérard&lt;/author&gt;&lt;author&gt;Mokhtari, Hamid&lt;/author&gt;&lt;author&gt;Courtaud, Bruno&lt;/author&gt;&lt;author&gt;Moyer, Bruce A.&lt;/author&gt;&lt;author&gt;Chagnes, Alexandre&lt;/author&gt;&lt;/authors&gt;&lt;/contributors&gt;&lt;titles&gt;&lt;title&gt;Recovery of Uranium from Wet Phosphoric Acid by Solvent Extraction Processes&lt;/title&gt;&lt;secondary-title&gt;Chemical Reviews&lt;/secondary-title&gt;&lt;/titles&gt;&lt;periodical&gt;&lt;full-title&gt;Chemical Reviews&lt;/full-title&gt;&lt;/periodical&gt;&lt;pages&gt;12002-12023&lt;/pages&gt;&lt;volume&gt;114&lt;/volume&gt;&lt;number&gt;24&lt;/number&gt;&lt;dates&gt;&lt;year&gt;2014&lt;/year&gt;&lt;pub-dates&gt;&lt;date&gt;2014/12/24&lt;/date&gt;&lt;/pub-dates&gt;&lt;/dates&gt;&lt;publisher&gt;American Chemical Society&lt;/publisher&gt;&lt;isbn&gt;0009-2665&lt;/isbn&gt;&lt;urls&gt;&lt;related-urls&gt;&lt;url&gt;https://doi.org/10.1021/cr5001546&lt;/url&gt;&lt;/related-urls&gt;&lt;/urls&gt;&lt;electronic-resource-num&gt;10.1021/cr5001546&lt;/electronic-resource-num&gt;&lt;/record&gt;&lt;/Cite&gt;&lt;/EndNote&gt;</w:instrText>
      </w:r>
      <w:r w:rsidR="005E0D25" w:rsidRPr="00505F89">
        <w:rPr>
          <w:rFonts w:ascii="Times New Roman" w:hAnsi="Times New Roman" w:cs="Times New Roman"/>
          <w:sz w:val="24"/>
          <w:szCs w:val="24"/>
        </w:rPr>
        <w:fldChar w:fldCharType="separate"/>
      </w:r>
      <w:r w:rsidR="005E0D25" w:rsidRPr="00505F89">
        <w:rPr>
          <w:rFonts w:ascii="Times New Roman" w:hAnsi="Times New Roman" w:cs="Times New Roman"/>
          <w:noProof/>
          <w:sz w:val="24"/>
          <w:szCs w:val="24"/>
          <w:vertAlign w:val="superscript"/>
        </w:rPr>
        <w:t>2</w:t>
      </w:r>
      <w:r w:rsidR="005E0D25" w:rsidRPr="00505F89">
        <w:rPr>
          <w:rFonts w:ascii="Times New Roman" w:hAnsi="Times New Roman" w:cs="Times New Roman"/>
          <w:sz w:val="24"/>
          <w:szCs w:val="24"/>
        </w:rPr>
        <w:fldChar w:fldCharType="end"/>
      </w:r>
      <w:r w:rsidRPr="00505F89">
        <w:rPr>
          <w:rFonts w:ascii="Times New Roman" w:hAnsi="Times New Roman" w:cs="Times New Roman"/>
          <w:sz w:val="24"/>
          <w:szCs w:val="24"/>
        </w:rPr>
        <w:t xml:space="preserve"> In 2014, the worldwide annual production of uranium was 64,000 tons, and demand for uranium is expected to be near 100,000 tons by 2040</w:t>
      </w:r>
      <w:r w:rsidR="001B47F3" w:rsidRPr="00505F89">
        <w:rPr>
          <w:rFonts w:ascii="Times New Roman" w:hAnsi="Times New Roman" w:cs="Times New Roman"/>
          <w:sz w:val="24"/>
          <w:szCs w:val="24"/>
        </w:rPr>
        <w:t>.</w:t>
      </w:r>
      <w:r w:rsidR="001B47F3" w:rsidRPr="00505F89">
        <w:rPr>
          <w:rFonts w:ascii="Times New Roman" w:hAnsi="Times New Roman" w:cs="Times New Roman"/>
          <w:sz w:val="24"/>
          <w:szCs w:val="24"/>
        </w:rPr>
        <w:fldChar w:fldCharType="begin"/>
      </w:r>
      <w:r w:rsidR="001B47F3" w:rsidRPr="00505F89">
        <w:rPr>
          <w:rFonts w:ascii="Times New Roman" w:hAnsi="Times New Roman" w:cs="Times New Roman"/>
          <w:sz w:val="24"/>
          <w:szCs w:val="24"/>
        </w:rPr>
        <w:instrText xml:space="preserve"> ADDIN EN.CITE &lt;EndNote&gt;&lt;Cite&gt;&lt;Year&gt;2020&lt;/Year&gt;&lt;RecNum&gt;33&lt;/RecNum&gt;&lt;DisplayText&gt;&lt;style face="superscript"&gt;1&lt;/style&gt;&lt;/DisplayText&gt;&lt;record&gt;&lt;rec-number&gt;33&lt;/rec-number&gt;&lt;foreign-keys&gt;&lt;key app="EN" db-id="25rxa2te7frr21efrtj5evr8vxrresw5vawx" timestamp="1665622685"&gt;33&lt;/key&gt;&lt;/foreign-keys&gt;&lt;ref-type name="Report"&gt;27&lt;/ref-type&gt;&lt;contributors&gt;&lt;/contributors&gt;&lt;titles&gt;&lt;title&gt;IAEA Annual Report for 2020&lt;/title&gt;&lt;/titles&gt;&lt;dates&gt;&lt;year&gt;2020&lt;/year&gt;&lt;/dates&gt;&lt;publisher&gt;International Atomic Energy Agency &lt;/publisher&gt;&lt;urls&gt;&lt;/urls&gt;&lt;/record&gt;&lt;/Cite&gt;&lt;/EndNote&gt;</w:instrText>
      </w:r>
      <w:r w:rsidR="001B47F3" w:rsidRPr="00505F89">
        <w:rPr>
          <w:rFonts w:ascii="Times New Roman" w:hAnsi="Times New Roman" w:cs="Times New Roman"/>
          <w:sz w:val="24"/>
          <w:szCs w:val="24"/>
        </w:rPr>
        <w:fldChar w:fldCharType="separate"/>
      </w:r>
      <w:r w:rsidR="001B47F3" w:rsidRPr="00505F89">
        <w:rPr>
          <w:rFonts w:ascii="Times New Roman" w:hAnsi="Times New Roman" w:cs="Times New Roman"/>
          <w:noProof/>
          <w:sz w:val="24"/>
          <w:szCs w:val="24"/>
          <w:vertAlign w:val="superscript"/>
        </w:rPr>
        <w:t>1</w:t>
      </w:r>
      <w:r w:rsidR="001B47F3" w:rsidRPr="00505F89">
        <w:rPr>
          <w:rFonts w:ascii="Times New Roman" w:hAnsi="Times New Roman" w:cs="Times New Roman"/>
          <w:sz w:val="24"/>
          <w:szCs w:val="24"/>
        </w:rPr>
        <w:fldChar w:fldCharType="end"/>
      </w:r>
    </w:p>
    <w:p w14:paraId="7B6CA13A" w14:textId="0DA8958A" w:rsidR="00E55755" w:rsidRPr="00505F89" w:rsidRDefault="00E55755" w:rsidP="00F85417">
      <w:pPr>
        <w:spacing w:line="276" w:lineRule="auto"/>
        <w:ind w:firstLine="720"/>
        <w:jc w:val="both"/>
        <w:rPr>
          <w:rFonts w:ascii="Times New Roman" w:hAnsi="Times New Roman" w:cs="Times New Roman"/>
          <w:sz w:val="24"/>
          <w:szCs w:val="24"/>
        </w:rPr>
      </w:pPr>
      <w:r w:rsidRPr="00505F89">
        <w:rPr>
          <w:rFonts w:ascii="Times New Roman" w:hAnsi="Times New Roman" w:cs="Times New Roman"/>
          <w:sz w:val="24"/>
          <w:szCs w:val="24"/>
        </w:rPr>
        <w:t>Owing to the intense radioactivity of uranium fission products, the safe and efficient disposal of nuclear waste is a significant societal issue.</w:t>
      </w:r>
      <w:r w:rsidR="00DF4502" w:rsidRPr="00505F89">
        <w:rPr>
          <w:rFonts w:ascii="Times New Roman" w:eastAsia="MyriadPro-Regular" w:hAnsi="Times New Roman" w:cs="Times New Roman"/>
          <w:color w:val="231F20"/>
          <w:sz w:val="24"/>
          <w:szCs w:val="24"/>
        </w:rPr>
        <w:fldChar w:fldCharType="begin"/>
      </w:r>
      <w:r w:rsidR="00DF4502" w:rsidRPr="00505F89">
        <w:rPr>
          <w:rFonts w:ascii="Times New Roman" w:eastAsia="MyriadPro-Regular" w:hAnsi="Times New Roman" w:cs="Times New Roman"/>
          <w:color w:val="231F20"/>
          <w:sz w:val="24"/>
          <w:szCs w:val="24"/>
        </w:rPr>
        <w:instrText xml:space="preserve"> ADDIN EN.CITE &lt;EndNote&gt;&lt;Cite&gt;&lt;Author&gt;Neal&lt;/Author&gt;&lt;Year&gt;2017&lt;/Year&gt;&lt;RecNum&gt;30&lt;/RecNum&gt;&lt;DisplayText&gt;&lt;style face="superscript"&gt;3&lt;/style&gt;&lt;/DisplayText&gt;&lt;record&gt;&lt;rec-number&gt;30&lt;/rec-number&gt;&lt;foreign-keys&gt;&lt;key app="EN" db-id="25rxa2te7frr21efrtj5evr8vxrresw5vawx" timestamp="1665549473"&gt;30&lt;/key&gt;&lt;/foreign-keys&gt;&lt;ref-type name="Journal Article"&gt;17&lt;/ref-type&gt;&lt;contributors&gt;&lt;authors&gt;&lt;author&gt;Neal, Harrison A.&lt;/author&gt;&lt;author&gt;Szymanowski, Jennifer&lt;/author&gt;&lt;author&gt;Fein, Jeremy B.&lt;/author&gt;&lt;author&gt;Burns, Peter C.&lt;/author&gt;&lt;author&gt;Nyman, May&lt;/author&gt;&lt;/authors&gt;&lt;/contributors&gt;&lt;titles&gt;&lt;title&gt;Benchmarking Uranyl Peroxide Capsule Chemistry in Organic Media&lt;/title&gt;&lt;secondary-title&gt;European Journal of Inoraganc Chemistry&lt;/secondary-title&gt;&lt;/titles&gt;&lt;periodical&gt;&lt;full-title&gt;European Journal of Inoraganc Chemistry&lt;/full-title&gt;&lt;/periodical&gt;&lt;pages&gt;39-46&lt;/pages&gt;&lt;volume&gt;2017&lt;/volume&gt;&lt;number&gt;1&lt;/number&gt;&lt;dates&gt;&lt;year&gt;2017&lt;/year&gt;&lt;/dates&gt;&lt;isbn&gt;1434-1948&lt;/isbn&gt;&lt;urls&gt;&lt;related-urls&gt;&lt;url&gt;https://chemistry-europe.onlinelibrary.wiley.com/doi/abs/10.1002/ejic.201601219&lt;/url&gt;&lt;/related-urls&gt;&lt;/urls&gt;&lt;electronic-resource-num&gt;https://doi.org/10.1002/ejic.201601219&lt;/electronic-resource-num&gt;&lt;/record&gt;&lt;/Cite&gt;&lt;/EndNote&gt;</w:instrText>
      </w:r>
      <w:r w:rsidR="00DF4502" w:rsidRPr="00505F89">
        <w:rPr>
          <w:rFonts w:ascii="Times New Roman" w:eastAsia="MyriadPro-Regular" w:hAnsi="Times New Roman" w:cs="Times New Roman"/>
          <w:color w:val="231F20"/>
          <w:sz w:val="24"/>
          <w:szCs w:val="24"/>
        </w:rPr>
        <w:fldChar w:fldCharType="separate"/>
      </w:r>
      <w:r w:rsidR="00DF4502" w:rsidRPr="00505F89">
        <w:rPr>
          <w:rFonts w:ascii="Times New Roman" w:eastAsia="MyriadPro-Regular" w:hAnsi="Times New Roman" w:cs="Times New Roman"/>
          <w:noProof/>
          <w:color w:val="231F20"/>
          <w:sz w:val="24"/>
          <w:szCs w:val="24"/>
          <w:vertAlign w:val="superscript"/>
        </w:rPr>
        <w:t>3</w:t>
      </w:r>
      <w:r w:rsidR="00DF4502" w:rsidRPr="00505F89">
        <w:rPr>
          <w:rFonts w:ascii="Times New Roman" w:eastAsia="MyriadPro-Regular" w:hAnsi="Times New Roman" w:cs="Times New Roman"/>
          <w:color w:val="231F20"/>
          <w:sz w:val="24"/>
          <w:szCs w:val="24"/>
        </w:rPr>
        <w:fldChar w:fldCharType="end"/>
      </w:r>
      <w:r w:rsidRPr="00505F89">
        <w:rPr>
          <w:rFonts w:ascii="Times New Roman" w:hAnsi="Times New Roman" w:cs="Times New Roman"/>
          <w:sz w:val="24"/>
          <w:szCs w:val="24"/>
        </w:rPr>
        <w:t xml:space="preserve"> The post-fuel treatment of nuclear waste involves separation of recyclable radioisotopes (such as </w:t>
      </w:r>
      <w:r w:rsidRPr="00505F89">
        <w:rPr>
          <w:rFonts w:ascii="Times New Roman" w:hAnsi="Times New Roman" w:cs="Times New Roman"/>
          <w:sz w:val="24"/>
          <w:szCs w:val="24"/>
          <w:vertAlign w:val="superscript"/>
        </w:rPr>
        <w:t>235</w:t>
      </w:r>
      <w:r w:rsidRPr="00505F89">
        <w:rPr>
          <w:rFonts w:ascii="Times New Roman" w:hAnsi="Times New Roman" w:cs="Times New Roman"/>
          <w:sz w:val="24"/>
          <w:szCs w:val="24"/>
        </w:rPr>
        <w:t xml:space="preserve">U) from radioisotopes that cannot be put to further use (such as </w:t>
      </w:r>
      <w:r w:rsidRPr="00505F89">
        <w:rPr>
          <w:rFonts w:ascii="Times New Roman" w:hAnsi="Times New Roman" w:cs="Times New Roman"/>
          <w:sz w:val="24"/>
          <w:szCs w:val="24"/>
          <w:vertAlign w:val="superscript"/>
        </w:rPr>
        <w:t>90</w:t>
      </w:r>
      <w:r w:rsidRPr="00505F89">
        <w:rPr>
          <w:rFonts w:ascii="Times New Roman" w:hAnsi="Times New Roman" w:cs="Times New Roman"/>
          <w:sz w:val="24"/>
          <w:szCs w:val="24"/>
        </w:rPr>
        <w:t>Sr).</w:t>
      </w:r>
      <w:r w:rsidR="001B47F3" w:rsidRPr="00505F89">
        <w:rPr>
          <w:rFonts w:ascii="Times New Roman" w:eastAsia="MyriadPro-Regular" w:hAnsi="Times New Roman" w:cs="Times New Roman"/>
          <w:color w:val="231F20"/>
          <w:sz w:val="24"/>
          <w:szCs w:val="24"/>
        </w:rPr>
        <w:fldChar w:fldCharType="begin"/>
      </w:r>
      <w:r w:rsidR="005E0D25" w:rsidRPr="00505F89">
        <w:rPr>
          <w:rFonts w:ascii="Times New Roman" w:eastAsia="MyriadPro-Regular" w:hAnsi="Times New Roman" w:cs="Times New Roman"/>
          <w:color w:val="231F20"/>
          <w:sz w:val="24"/>
          <w:szCs w:val="24"/>
        </w:rPr>
        <w:instrText xml:space="preserve"> ADDIN EN.CITE &lt;EndNote&gt;&lt;Cite&gt;&lt;Author&gt;Neal&lt;/Author&gt;&lt;Year&gt;2017&lt;/Year&gt;&lt;RecNum&gt;30&lt;/RecNum&gt;&lt;DisplayText&gt;&lt;style face="superscript"&gt;3&lt;/style&gt;&lt;/DisplayText&gt;&lt;record&gt;&lt;rec-number&gt;30&lt;/rec-number&gt;&lt;foreign-keys&gt;&lt;key app="EN" db-id="25rxa2te7frr21efrtj5evr8vxrresw5vawx" timestamp="1665549473"&gt;30&lt;/key&gt;&lt;/foreign-keys&gt;&lt;ref-type name="Journal Article"&gt;17&lt;/ref-type&gt;&lt;contributors&gt;&lt;authors&gt;&lt;author&gt;Neal, Harrison A.&lt;/author&gt;&lt;author&gt;Szymanowski, Jennifer&lt;/author&gt;&lt;author&gt;Fein, Jeremy B.&lt;/author&gt;&lt;author&gt;Burns, Peter C.&lt;/author&gt;&lt;author&gt;Nyman, May&lt;/author&gt;&lt;/authors&gt;&lt;/contributors&gt;&lt;titles&gt;&lt;title&gt;Benchmarking Uranyl Peroxide Capsule Chemistry in Organic Media&lt;/title&gt;&lt;secondary-title&gt;European Journal of Inoraganc Chemistry&lt;/secondary-title&gt;&lt;/titles&gt;&lt;periodical&gt;&lt;full-title&gt;European Journal of Inoraganc Chemistry&lt;/full-title&gt;&lt;/periodical&gt;&lt;pages&gt;39-46&lt;/pages&gt;&lt;volume&gt;2017&lt;/volume&gt;&lt;number&gt;1&lt;/number&gt;&lt;dates&gt;&lt;year&gt;2017&lt;/year&gt;&lt;/dates&gt;&lt;isbn&gt;1434-1948&lt;/isbn&gt;&lt;urls&gt;&lt;related-urls&gt;&lt;url&gt;https://chemistry-europe.onlinelibrary.wiley.com/doi/abs/10.1002/ejic.201601219&lt;/url&gt;&lt;/related-urls&gt;&lt;/urls&gt;&lt;electronic-resource-num&gt;https://doi.org/10.1002/ejic.201601219&lt;/electronic-resource-num&gt;&lt;/record&gt;&lt;/Cite&gt;&lt;/EndNote&gt;</w:instrText>
      </w:r>
      <w:r w:rsidR="001B47F3" w:rsidRPr="00505F89">
        <w:rPr>
          <w:rFonts w:ascii="Times New Roman" w:eastAsia="MyriadPro-Regular" w:hAnsi="Times New Roman" w:cs="Times New Roman"/>
          <w:color w:val="231F20"/>
          <w:sz w:val="24"/>
          <w:szCs w:val="24"/>
        </w:rPr>
        <w:fldChar w:fldCharType="separate"/>
      </w:r>
      <w:r w:rsidR="005E0D25" w:rsidRPr="00505F89">
        <w:rPr>
          <w:rFonts w:ascii="Times New Roman" w:eastAsia="MyriadPro-Regular" w:hAnsi="Times New Roman" w:cs="Times New Roman"/>
          <w:noProof/>
          <w:color w:val="231F20"/>
          <w:sz w:val="24"/>
          <w:szCs w:val="24"/>
          <w:vertAlign w:val="superscript"/>
        </w:rPr>
        <w:t>3</w:t>
      </w:r>
      <w:r w:rsidR="001B47F3" w:rsidRPr="00505F89">
        <w:rPr>
          <w:rFonts w:ascii="Times New Roman" w:eastAsia="MyriadPro-Regular" w:hAnsi="Times New Roman" w:cs="Times New Roman"/>
          <w:color w:val="231F20"/>
          <w:sz w:val="24"/>
          <w:szCs w:val="24"/>
        </w:rPr>
        <w:fldChar w:fldCharType="end"/>
      </w:r>
      <w:r w:rsidRPr="00505F89">
        <w:rPr>
          <w:rFonts w:ascii="Times New Roman" w:hAnsi="Times New Roman" w:cs="Times New Roman"/>
          <w:sz w:val="24"/>
          <w:szCs w:val="24"/>
        </w:rPr>
        <w:t xml:space="preserve"> There is a need to develop more chemically selective, environmentally friendly, and economically efficient</w:t>
      </w:r>
      <w:r w:rsidRPr="00505F89" w:rsidDel="000A5CCB">
        <w:rPr>
          <w:rFonts w:ascii="Times New Roman" w:hAnsi="Times New Roman" w:cs="Times New Roman"/>
          <w:sz w:val="24"/>
          <w:szCs w:val="24"/>
        </w:rPr>
        <w:t xml:space="preserve"> </w:t>
      </w:r>
      <w:r w:rsidRPr="00505F89">
        <w:rPr>
          <w:rFonts w:ascii="Times New Roman" w:hAnsi="Times New Roman" w:cs="Times New Roman"/>
          <w:sz w:val="24"/>
          <w:szCs w:val="24"/>
        </w:rPr>
        <w:t>methods to separate uranium from other elements.</w:t>
      </w:r>
    </w:p>
    <w:p w14:paraId="117220A4" w14:textId="58D13F0F" w:rsidR="00E55755" w:rsidRPr="00505F89" w:rsidRDefault="00E55755" w:rsidP="00F85417">
      <w:pPr>
        <w:spacing w:line="276" w:lineRule="auto"/>
        <w:ind w:firstLine="720"/>
        <w:jc w:val="both"/>
        <w:rPr>
          <w:rFonts w:ascii="Times New Roman" w:eastAsia="MyriadPro-Regular" w:hAnsi="Times New Roman" w:cs="Times New Roman"/>
          <w:color w:val="231F20"/>
          <w:sz w:val="24"/>
          <w:szCs w:val="24"/>
        </w:rPr>
      </w:pPr>
      <w:r w:rsidRPr="00505F89">
        <w:rPr>
          <w:rFonts w:ascii="Times New Roman" w:hAnsi="Times New Roman" w:cs="Times New Roman"/>
          <w:sz w:val="24"/>
          <w:szCs w:val="24"/>
        </w:rPr>
        <w:t>A new class of uranium species has recently been investigated in the context of separations: uranyl peroxide polyoxometalate clusters (UPCs). The first of these clusters was discovered in 2005.</w:t>
      </w:r>
      <w:r w:rsidRPr="00505F89">
        <w:rPr>
          <w:rFonts w:ascii="Times New Roman" w:hAnsi="Times New Roman" w:cs="Times New Roman"/>
          <w:sz w:val="24"/>
          <w:szCs w:val="24"/>
        </w:rPr>
        <w:fldChar w:fldCharType="begin"/>
      </w:r>
      <w:r w:rsidR="005E0D25" w:rsidRPr="00505F89">
        <w:rPr>
          <w:rFonts w:ascii="Times New Roman" w:hAnsi="Times New Roman" w:cs="Times New Roman"/>
          <w:sz w:val="24"/>
          <w:szCs w:val="24"/>
        </w:rPr>
        <w:instrText xml:space="preserve"> ADDIN EN.CITE &lt;EndNote&gt;&lt;Cite&gt;&lt;Author&gt;Burns&lt;/Author&gt;&lt;Year&gt;2005&lt;/Year&gt;&lt;RecNum&gt;36&lt;/RecNum&gt;&lt;DisplayText&gt;&lt;style face="superscript"&gt;4&lt;/style&gt;&lt;/DisplayText&gt;&lt;record&gt;&lt;rec-number&gt;36&lt;/rec-number&gt;&lt;foreign-keys&gt;&lt;key app="EN" db-id="25rxa2te7frr21efrtj5evr8vxrresw5vawx" timestamp="1665623597"&gt;36&lt;/key&gt;&lt;/foreign-keys&gt;&lt;ref-type name="Journal Article"&gt;17&lt;/ref-type&gt;&lt;contributors&gt;&lt;authors&gt;&lt;author&gt;Burns, Peter C.&lt;/author&gt;&lt;author&gt;Kubatko, Karrie-Ann&lt;/author&gt;&lt;author&gt;Sigmon, Ginger&lt;/author&gt;&lt;author&gt;Fryer, Brian J.&lt;/author&gt;&lt;author&gt;Gagnon, Joel E.&lt;/author&gt;&lt;author&gt;Antonio, Mark R.&lt;/author&gt;&lt;author&gt;Soderholm, L&lt;/author&gt;&lt;/authors&gt;&lt;/contributors&gt;&lt;titles&gt;&lt;title&gt;Actinyl Peroxide Nanospheres&lt;/title&gt;&lt;/titles&gt;&lt;pages&gt;2135-2139&lt;/pages&gt;&lt;volume&gt;44&lt;/volume&gt;&lt;number&gt;14&lt;/number&gt;&lt;dates&gt;&lt;year&gt;2005&lt;/year&gt;&lt;/dates&gt;&lt;isbn&gt;1433-7851&lt;/isbn&gt;&lt;urls&gt;&lt;related-urls&gt;&lt;url&gt;https://onlinelibrary.wiley.com/doi/abs/10.1002/anie.200462445&lt;/url&gt;&lt;/related-urls&gt;&lt;/urls&gt;&lt;electronic-resource-num&gt;https://doi.org/10.1002/anie.200462445&lt;/electronic-resource-num&gt;&lt;/record&gt;&lt;/Cite&gt;&lt;/EndNote&gt;</w:instrText>
      </w:r>
      <w:r w:rsidRPr="00505F89">
        <w:rPr>
          <w:rFonts w:ascii="Times New Roman" w:hAnsi="Times New Roman" w:cs="Times New Roman"/>
          <w:sz w:val="24"/>
          <w:szCs w:val="24"/>
        </w:rPr>
        <w:fldChar w:fldCharType="separate"/>
      </w:r>
      <w:r w:rsidR="005E0D25" w:rsidRPr="00505F89">
        <w:rPr>
          <w:rFonts w:ascii="Times New Roman" w:hAnsi="Times New Roman" w:cs="Times New Roman"/>
          <w:noProof/>
          <w:sz w:val="24"/>
          <w:szCs w:val="24"/>
          <w:vertAlign w:val="superscript"/>
        </w:rPr>
        <w:t>4</w:t>
      </w:r>
      <w:r w:rsidRPr="00505F89">
        <w:rPr>
          <w:rFonts w:ascii="Times New Roman" w:hAnsi="Times New Roman" w:cs="Times New Roman"/>
          <w:sz w:val="24"/>
          <w:szCs w:val="24"/>
        </w:rPr>
        <w:fldChar w:fldCharType="end"/>
      </w:r>
      <w:r w:rsidRPr="00505F89">
        <w:rPr>
          <w:rFonts w:ascii="Times New Roman" w:hAnsi="Times New Roman" w:cs="Times New Roman"/>
          <w:sz w:val="24"/>
          <w:szCs w:val="24"/>
        </w:rPr>
        <w:t xml:space="preserve"> Since then, the library has expanded to more than 40 clusters with varying topologies and sizes.</w:t>
      </w:r>
      <w:r w:rsidRPr="00505F89">
        <w:rPr>
          <w:rFonts w:ascii="Times New Roman" w:hAnsi="Times New Roman" w:cs="Times New Roman"/>
          <w:sz w:val="24"/>
          <w:szCs w:val="24"/>
        </w:rPr>
        <w:fldChar w:fldCharType="begin"/>
      </w:r>
      <w:r w:rsidR="005E0D25" w:rsidRPr="00505F89">
        <w:rPr>
          <w:rFonts w:ascii="Times New Roman" w:hAnsi="Times New Roman" w:cs="Times New Roman"/>
          <w:sz w:val="24"/>
          <w:szCs w:val="24"/>
        </w:rPr>
        <w:instrText xml:space="preserve"> ADDIN EN.CITE &lt;EndNote&gt;&lt;Cite&gt;&lt;Author&gt;Burns&lt;/Author&gt;&lt;Year&gt;2018&lt;/Year&gt;&lt;RecNum&gt;37&lt;/RecNum&gt;&lt;DisplayText&gt;&lt;style face="superscript"&gt;5&lt;/style&gt;&lt;/DisplayText&gt;&lt;record&gt;&lt;rec-number&gt;37&lt;/rec-number&gt;&lt;foreign-keys&gt;&lt;key app="EN" db-id="25rxa2te7frr21efrtj5evr8vxrresw5vawx" timestamp="1665623721"&gt;37&lt;/key&gt;&lt;/foreign-keys&gt;&lt;ref-type name="Journal Article"&gt;17&lt;/ref-type&gt;&lt;contributors&gt;&lt;authors&gt;&lt;author&gt;Burns, Peter C.&lt;/author&gt;&lt;author&gt;Nyman, May&lt;/author&gt;&lt;/authors&gt;&lt;/contributors&gt;&lt;titles&gt;&lt;title&gt;Captivation with encapsulation: a dozen years of exploring uranyl peroxide capsules&lt;/title&gt;&lt;secondary-title&gt;Dalton Transactions&lt;/secondary-title&gt;&lt;/titles&gt;&lt;periodical&gt;&lt;full-title&gt;Dalton Transactions&lt;/full-title&gt;&lt;/periodical&gt;&lt;pages&gt;5916-5927&lt;/pages&gt;&lt;volume&gt;47&lt;/volume&gt;&lt;number&gt;17&lt;/number&gt;&lt;dates&gt;&lt;year&gt;2018&lt;/year&gt;&lt;/dates&gt;&lt;publisher&gt;The Royal Society of Chemistry&lt;/publisher&gt;&lt;isbn&gt;1477-9226&lt;/isbn&gt;&lt;work-type&gt;10.1039/C7DT04245K&lt;/work-type&gt;&lt;urls&gt;&lt;related-urls&gt;&lt;url&gt;http://dx.doi.org/10.1039/C7DT04245K&lt;/url&gt;&lt;/related-urls&gt;&lt;/urls&gt;&lt;electronic-resource-num&gt;10.1039/C7DT04245K&lt;/electronic-resource-num&gt;&lt;/record&gt;&lt;/Cite&gt;&lt;/EndNote&gt;</w:instrText>
      </w:r>
      <w:r w:rsidRPr="00505F89">
        <w:rPr>
          <w:rFonts w:ascii="Times New Roman" w:hAnsi="Times New Roman" w:cs="Times New Roman"/>
          <w:sz w:val="24"/>
          <w:szCs w:val="24"/>
        </w:rPr>
        <w:fldChar w:fldCharType="separate"/>
      </w:r>
      <w:r w:rsidR="005E0D25" w:rsidRPr="00505F89">
        <w:rPr>
          <w:rFonts w:ascii="Times New Roman" w:hAnsi="Times New Roman" w:cs="Times New Roman"/>
          <w:noProof/>
          <w:sz w:val="24"/>
          <w:szCs w:val="24"/>
          <w:vertAlign w:val="superscript"/>
        </w:rPr>
        <w:t>5</w:t>
      </w:r>
      <w:r w:rsidRPr="00505F89">
        <w:rPr>
          <w:rFonts w:ascii="Times New Roman" w:hAnsi="Times New Roman" w:cs="Times New Roman"/>
          <w:sz w:val="24"/>
          <w:szCs w:val="24"/>
        </w:rPr>
        <w:fldChar w:fldCharType="end"/>
      </w:r>
      <w:r w:rsidRPr="00505F89">
        <w:rPr>
          <w:rFonts w:ascii="Times New Roman" w:hAnsi="Times New Roman" w:cs="Times New Roman"/>
          <w:sz w:val="24"/>
          <w:szCs w:val="24"/>
        </w:rPr>
        <w:t xml:space="preserve"> These clusters assemble in-situ when aqueous solutions of uranyl ions (UO</w:t>
      </w:r>
      <w:r w:rsidRPr="00505F89">
        <w:rPr>
          <w:rFonts w:ascii="Times New Roman" w:hAnsi="Times New Roman" w:cs="Times New Roman"/>
          <w:sz w:val="24"/>
          <w:szCs w:val="24"/>
          <w:vertAlign w:val="subscript"/>
        </w:rPr>
        <w:t>2</w:t>
      </w:r>
      <w:r w:rsidRPr="00505F89">
        <w:rPr>
          <w:rFonts w:ascii="Times New Roman" w:hAnsi="Times New Roman" w:cs="Times New Roman"/>
          <w:sz w:val="24"/>
          <w:szCs w:val="24"/>
          <w:vertAlign w:val="superscript"/>
        </w:rPr>
        <w:t>2+</w:t>
      </w:r>
      <w:r w:rsidRPr="00505F89">
        <w:rPr>
          <w:rFonts w:ascii="Times New Roman" w:hAnsi="Times New Roman" w:cs="Times New Roman"/>
          <w:sz w:val="24"/>
          <w:szCs w:val="24"/>
        </w:rPr>
        <w:t>) are treated with peroxide solution under alkaline conditions. These clusters consist of [UO</w:t>
      </w:r>
      <w:r w:rsidRPr="00505F89">
        <w:rPr>
          <w:rFonts w:ascii="Times New Roman" w:hAnsi="Times New Roman" w:cs="Times New Roman"/>
          <w:sz w:val="24"/>
          <w:szCs w:val="24"/>
          <w:vertAlign w:val="subscript"/>
        </w:rPr>
        <w:t>2</w:t>
      </w:r>
      <w:r w:rsidRPr="00505F89">
        <w:rPr>
          <w:rFonts w:ascii="Times New Roman" w:hAnsi="Times New Roman" w:cs="Times New Roman"/>
          <w:sz w:val="24"/>
          <w:szCs w:val="24"/>
        </w:rPr>
        <w:t>(O</w:t>
      </w:r>
      <w:r w:rsidRPr="00505F89">
        <w:rPr>
          <w:rFonts w:ascii="Times New Roman" w:hAnsi="Times New Roman" w:cs="Times New Roman"/>
          <w:sz w:val="24"/>
          <w:szCs w:val="24"/>
          <w:vertAlign w:val="subscript"/>
        </w:rPr>
        <w:t>2</w:t>
      </w:r>
      <w:r w:rsidRPr="00505F89">
        <w:rPr>
          <w:rFonts w:ascii="Times New Roman" w:hAnsi="Times New Roman" w:cs="Times New Roman"/>
          <w:sz w:val="24"/>
          <w:szCs w:val="24"/>
        </w:rPr>
        <w:t>)</w:t>
      </w:r>
      <w:r w:rsidRPr="00505F89">
        <w:rPr>
          <w:rFonts w:ascii="Times New Roman" w:hAnsi="Times New Roman" w:cs="Times New Roman"/>
          <w:sz w:val="24"/>
          <w:szCs w:val="24"/>
          <w:vertAlign w:val="subscript"/>
        </w:rPr>
        <w:t>2</w:t>
      </w:r>
      <w:r w:rsidRPr="00505F89">
        <w:rPr>
          <w:rFonts w:ascii="Times New Roman" w:hAnsi="Times New Roman" w:cs="Times New Roman"/>
          <w:sz w:val="24"/>
          <w:szCs w:val="24"/>
        </w:rPr>
        <w:t>(OH)</w:t>
      </w:r>
      <w:r w:rsidRPr="00505F89">
        <w:rPr>
          <w:rFonts w:ascii="Times New Roman" w:hAnsi="Times New Roman" w:cs="Times New Roman"/>
          <w:sz w:val="24"/>
          <w:szCs w:val="24"/>
          <w:vertAlign w:val="subscript"/>
        </w:rPr>
        <w:t>2</w:t>
      </w:r>
      <w:r w:rsidRPr="00505F89">
        <w:rPr>
          <w:rFonts w:ascii="Times New Roman" w:hAnsi="Times New Roman" w:cs="Times New Roman"/>
          <w:sz w:val="24"/>
          <w:szCs w:val="24"/>
        </w:rPr>
        <w:t>]</w:t>
      </w:r>
      <w:r w:rsidRPr="00505F89">
        <w:rPr>
          <w:rFonts w:ascii="Times New Roman" w:hAnsi="Times New Roman" w:cs="Times New Roman"/>
          <w:sz w:val="24"/>
          <w:szCs w:val="24"/>
          <w:vertAlign w:val="superscript"/>
        </w:rPr>
        <w:t xml:space="preserve">4− </w:t>
      </w:r>
      <w:r w:rsidRPr="00505F89">
        <w:rPr>
          <w:rFonts w:ascii="Times New Roman" w:hAnsi="Times New Roman" w:cs="Times New Roman"/>
          <w:sz w:val="24"/>
          <w:szCs w:val="24"/>
        </w:rPr>
        <w:t xml:space="preserve">(with two </w:t>
      </w:r>
      <w:r w:rsidRPr="00505F89">
        <w:rPr>
          <w:rFonts w:ascii="Times New Roman" w:hAnsi="Times New Roman" w:cs="Times New Roman"/>
          <w:i/>
          <w:iCs/>
          <w:sz w:val="24"/>
          <w:szCs w:val="24"/>
        </w:rPr>
        <w:t>cis</w:t>
      </w:r>
      <w:r w:rsidRPr="00505F89">
        <w:rPr>
          <w:rFonts w:ascii="Times New Roman" w:hAnsi="Times New Roman" w:cs="Times New Roman"/>
          <w:sz w:val="24"/>
          <w:szCs w:val="24"/>
        </w:rPr>
        <w:t>-hydroxide ligands) or [UO</w:t>
      </w:r>
      <w:r w:rsidRPr="00505F89">
        <w:rPr>
          <w:rFonts w:ascii="Times New Roman" w:hAnsi="Times New Roman" w:cs="Times New Roman"/>
          <w:sz w:val="24"/>
          <w:szCs w:val="24"/>
          <w:vertAlign w:val="subscript"/>
        </w:rPr>
        <w:t>2</w:t>
      </w:r>
      <w:r w:rsidRPr="00505F89">
        <w:rPr>
          <w:rFonts w:ascii="Times New Roman" w:hAnsi="Times New Roman" w:cs="Times New Roman"/>
          <w:sz w:val="24"/>
          <w:szCs w:val="24"/>
        </w:rPr>
        <w:t>(O</w:t>
      </w:r>
      <w:r w:rsidRPr="00505F89">
        <w:rPr>
          <w:rFonts w:ascii="Times New Roman" w:hAnsi="Times New Roman" w:cs="Times New Roman"/>
          <w:sz w:val="24"/>
          <w:szCs w:val="24"/>
          <w:vertAlign w:val="subscript"/>
        </w:rPr>
        <w:t>2</w:t>
      </w:r>
      <w:r w:rsidRPr="00505F89">
        <w:rPr>
          <w:rFonts w:ascii="Times New Roman" w:hAnsi="Times New Roman" w:cs="Times New Roman"/>
          <w:sz w:val="24"/>
          <w:szCs w:val="24"/>
        </w:rPr>
        <w:t>)</w:t>
      </w:r>
      <w:r w:rsidRPr="00505F89">
        <w:rPr>
          <w:rFonts w:ascii="Times New Roman" w:hAnsi="Times New Roman" w:cs="Times New Roman"/>
          <w:sz w:val="24"/>
          <w:szCs w:val="24"/>
          <w:vertAlign w:val="subscript"/>
        </w:rPr>
        <w:t>3</w:t>
      </w:r>
      <w:r w:rsidRPr="00505F89">
        <w:rPr>
          <w:rFonts w:ascii="Times New Roman" w:hAnsi="Times New Roman" w:cs="Times New Roman"/>
          <w:sz w:val="24"/>
          <w:szCs w:val="24"/>
        </w:rPr>
        <w:t>]</w:t>
      </w:r>
      <w:r w:rsidRPr="00505F89">
        <w:rPr>
          <w:rFonts w:ascii="Times New Roman" w:hAnsi="Times New Roman" w:cs="Times New Roman"/>
          <w:sz w:val="24"/>
          <w:szCs w:val="24"/>
          <w:vertAlign w:val="superscript"/>
        </w:rPr>
        <w:t>4−</w:t>
      </w:r>
      <w:r w:rsidRPr="00505F89">
        <w:rPr>
          <w:rFonts w:ascii="Times New Roman" w:hAnsi="Times New Roman" w:cs="Times New Roman"/>
          <w:sz w:val="24"/>
          <w:szCs w:val="24"/>
        </w:rPr>
        <w:t xml:space="preserve"> units linked into polyhedral arrays through hydroxide or peroxide bridges </w:t>
      </w:r>
      <w:r w:rsidRPr="00505F89">
        <w:rPr>
          <w:rFonts w:ascii="Times New Roman" w:hAnsi="Times New Roman" w:cs="Times New Roman"/>
          <w:sz w:val="24"/>
          <w:szCs w:val="24"/>
        </w:rPr>
        <w:fldChar w:fldCharType="begin"/>
      </w:r>
      <w:r w:rsidR="005E0D25" w:rsidRPr="00505F89">
        <w:rPr>
          <w:rFonts w:ascii="Times New Roman" w:hAnsi="Times New Roman" w:cs="Times New Roman"/>
          <w:sz w:val="24"/>
          <w:szCs w:val="24"/>
        </w:rPr>
        <w:instrText xml:space="preserve"> ADDIN EN.CITE &lt;EndNote&gt;&lt;Cite&gt;&lt;Author&gt;Burns&lt;/Author&gt;&lt;Year&gt;2018&lt;/Year&gt;&lt;RecNum&gt;29&lt;/RecNum&gt;&lt;DisplayText&gt;&lt;style face="superscript"&gt;5&lt;/style&gt;&lt;/DisplayText&gt;&lt;record&gt;&lt;rec-number&gt;29&lt;/rec-number&gt;&lt;foreign-keys&gt;&lt;key app="EN" db-id="25rxa2te7frr21efrtj5evr8vxrresw5vawx" timestamp="1665549422"&gt;29&lt;/key&gt;&lt;/foreign-keys&gt;&lt;ref-type name="Journal Article"&gt;17&lt;/ref-type&gt;&lt;contributors&gt;&lt;authors&gt;&lt;author&gt;Burns, Peter C.&lt;/author&gt;&lt;author&gt;Nyman, May&lt;/author&gt;&lt;/authors&gt;&lt;/contributors&gt;&lt;titles&gt;&lt;title&gt;Captivation with encapsulation: a dozen years of exploring uranyl peroxide capsules&lt;/title&gt;&lt;secondary-title&gt;Dalton Transactions&lt;/secondary-title&gt;&lt;/titles&gt;&lt;periodical&gt;&lt;full-title&gt;Dalton Transactions&lt;/full-title&gt;&lt;/periodical&gt;&lt;pages&gt;5916-5927&lt;/pages&gt;&lt;volume&gt;47&lt;/volume&gt;&lt;number&gt;17&lt;/number&gt;&lt;dates&gt;&lt;year&gt;2018&lt;/year&gt;&lt;/dates&gt;&lt;publisher&gt;The Royal Society of Chemistry&lt;/publisher&gt;&lt;isbn&gt;1477-9226&lt;/isbn&gt;&lt;work-type&gt;10.1039/C7DT04245K&lt;/work-type&gt;&lt;urls&gt;&lt;related-urls&gt;&lt;url&gt;http://dx.doi.org/10.1039/C7DT04245K&lt;/url&gt;&lt;/related-urls&gt;&lt;/urls&gt;&lt;electronic-resource-num&gt;10.1039/C7DT04245K&lt;/electronic-resource-num&gt;&lt;/record&gt;&lt;/Cite&gt;&lt;/EndNote&gt;</w:instrText>
      </w:r>
      <w:r w:rsidRPr="00505F89">
        <w:rPr>
          <w:rFonts w:ascii="Times New Roman" w:hAnsi="Times New Roman" w:cs="Times New Roman"/>
          <w:sz w:val="24"/>
          <w:szCs w:val="24"/>
        </w:rPr>
        <w:fldChar w:fldCharType="separate"/>
      </w:r>
      <w:r w:rsidR="005E0D25" w:rsidRPr="00505F89">
        <w:rPr>
          <w:rFonts w:ascii="Times New Roman" w:hAnsi="Times New Roman" w:cs="Times New Roman"/>
          <w:noProof/>
          <w:sz w:val="24"/>
          <w:szCs w:val="24"/>
          <w:vertAlign w:val="superscript"/>
        </w:rPr>
        <w:t>5</w:t>
      </w:r>
      <w:r w:rsidRPr="00505F89">
        <w:rPr>
          <w:rFonts w:ascii="Times New Roman" w:hAnsi="Times New Roman" w:cs="Times New Roman"/>
          <w:sz w:val="24"/>
          <w:szCs w:val="24"/>
        </w:rPr>
        <w:fldChar w:fldCharType="end"/>
      </w:r>
      <w:r w:rsidRPr="00505F89">
        <w:rPr>
          <w:rFonts w:ascii="Times New Roman" w:hAnsi="Times New Roman" w:cs="Times New Roman"/>
          <w:sz w:val="24"/>
          <w:szCs w:val="24"/>
        </w:rPr>
        <w:t>.</w:t>
      </w:r>
    </w:p>
    <w:p w14:paraId="625ADCB6" w14:textId="4776F57D" w:rsidR="00E55755" w:rsidRPr="00505F89" w:rsidRDefault="00E55755" w:rsidP="00F85417">
      <w:pPr>
        <w:spacing w:line="276" w:lineRule="auto"/>
        <w:ind w:firstLine="720"/>
        <w:jc w:val="both"/>
        <w:rPr>
          <w:rFonts w:ascii="Times New Roman" w:eastAsia="MyriadPro-Regular" w:hAnsi="Times New Roman" w:cs="Times New Roman"/>
          <w:color w:val="231F20"/>
          <w:sz w:val="24"/>
          <w:szCs w:val="24"/>
        </w:rPr>
      </w:pPr>
      <w:r w:rsidRPr="00505F89">
        <w:rPr>
          <w:rFonts w:ascii="Times New Roman" w:eastAsia="MyriadPro-Regular" w:hAnsi="Times New Roman" w:cs="Times New Roman"/>
          <w:color w:val="231F20"/>
          <w:sz w:val="24"/>
          <w:szCs w:val="24"/>
        </w:rPr>
        <w:t>Nyman et al. have extracted the lithium salt of [UO</w:t>
      </w:r>
      <w:r w:rsidRPr="00505F89">
        <w:rPr>
          <w:rFonts w:ascii="Times New Roman" w:eastAsia="MyriadPro-Regular" w:hAnsi="Times New Roman" w:cs="Times New Roman"/>
          <w:color w:val="231F20"/>
          <w:sz w:val="24"/>
          <w:szCs w:val="24"/>
          <w:vertAlign w:val="subscript"/>
        </w:rPr>
        <w:t>2</w:t>
      </w:r>
      <w:r w:rsidRPr="00505F89">
        <w:rPr>
          <w:rFonts w:ascii="Times New Roman" w:eastAsia="MyriadPro-Regular" w:hAnsi="Times New Roman" w:cs="Times New Roman"/>
          <w:color w:val="231F20"/>
          <w:sz w:val="24"/>
          <w:szCs w:val="24"/>
        </w:rPr>
        <w:t>(O</w:t>
      </w:r>
      <w:r w:rsidRPr="00505F89">
        <w:rPr>
          <w:rFonts w:ascii="Times New Roman" w:eastAsia="MyriadPro-Regular" w:hAnsi="Times New Roman" w:cs="Times New Roman"/>
          <w:color w:val="231F20"/>
          <w:sz w:val="24"/>
          <w:szCs w:val="24"/>
          <w:vertAlign w:val="subscript"/>
        </w:rPr>
        <w:t>2</w:t>
      </w:r>
      <w:r w:rsidRPr="00505F89">
        <w:rPr>
          <w:rFonts w:ascii="Times New Roman" w:eastAsia="MyriadPro-Regular" w:hAnsi="Times New Roman" w:cs="Times New Roman"/>
          <w:color w:val="231F20"/>
          <w:sz w:val="24"/>
          <w:szCs w:val="24"/>
        </w:rPr>
        <w:t>)(OH)]</w:t>
      </w:r>
      <w:r w:rsidRPr="00505F89">
        <w:rPr>
          <w:rFonts w:ascii="Times New Roman" w:eastAsia="MyriadPro-Regular" w:hAnsi="Times New Roman" w:cs="Times New Roman"/>
          <w:color w:val="231F20"/>
          <w:sz w:val="24"/>
          <w:szCs w:val="24"/>
          <w:vertAlign w:val="subscript"/>
        </w:rPr>
        <w:t>24</w:t>
      </w:r>
      <w:r w:rsidRPr="00505F89">
        <w:rPr>
          <w:rFonts w:ascii="Times New Roman" w:eastAsia="MyriadPro-Regular" w:hAnsi="Times New Roman" w:cs="Times New Roman"/>
          <w:color w:val="231F20"/>
          <w:sz w:val="24"/>
          <w:szCs w:val="24"/>
          <w:vertAlign w:val="superscript"/>
        </w:rPr>
        <w:t xml:space="preserve">24– </w:t>
      </w:r>
      <w:r w:rsidRPr="00505F89">
        <w:rPr>
          <w:rFonts w:ascii="Times New Roman" w:eastAsia="MyriadPro-Regular" w:hAnsi="Times New Roman" w:cs="Times New Roman"/>
          <w:color w:val="231F20"/>
          <w:sz w:val="24"/>
          <w:szCs w:val="24"/>
        </w:rPr>
        <w:t>(U</w:t>
      </w:r>
      <w:r w:rsidRPr="00505F89">
        <w:rPr>
          <w:rFonts w:ascii="Times New Roman" w:eastAsia="MyriadPro-Regular" w:hAnsi="Times New Roman" w:cs="Times New Roman"/>
          <w:color w:val="231F20"/>
          <w:sz w:val="24"/>
          <w:szCs w:val="24"/>
          <w:vertAlign w:val="subscript"/>
        </w:rPr>
        <w:t>24</w:t>
      </w:r>
      <w:r w:rsidRPr="00505F89">
        <w:rPr>
          <w:rFonts w:ascii="Times New Roman" w:eastAsia="MyriadPro-Regular" w:hAnsi="Times New Roman" w:cs="Times New Roman"/>
          <w:color w:val="231F20"/>
          <w:sz w:val="24"/>
          <w:szCs w:val="24"/>
        </w:rPr>
        <w:t>)</w:t>
      </w:r>
      <w:r w:rsidRPr="00505F89">
        <w:rPr>
          <w:rFonts w:ascii="Times New Roman" w:eastAsia="MyriadPro-Regular" w:hAnsi="Times New Roman" w:cs="Times New Roman"/>
          <w:color w:val="231F20"/>
          <w:sz w:val="24"/>
          <w:szCs w:val="24"/>
          <w:vertAlign w:val="subscript"/>
        </w:rPr>
        <w:t xml:space="preserve"> </w:t>
      </w:r>
      <w:r w:rsidRPr="00505F89">
        <w:rPr>
          <w:rFonts w:ascii="Times New Roman" w:eastAsia="MyriadPro-Regular" w:hAnsi="Times New Roman" w:cs="Times New Roman"/>
          <w:color w:val="231F20"/>
          <w:sz w:val="24"/>
          <w:szCs w:val="24"/>
        </w:rPr>
        <w:t>and the ammonium salt of [(UO</w:t>
      </w:r>
      <w:r w:rsidRPr="00505F89">
        <w:rPr>
          <w:rFonts w:ascii="Times New Roman" w:eastAsia="MyriadPro-Regular" w:hAnsi="Times New Roman" w:cs="Times New Roman"/>
          <w:color w:val="231F20"/>
          <w:sz w:val="24"/>
          <w:szCs w:val="24"/>
          <w:vertAlign w:val="subscript"/>
        </w:rPr>
        <w:t>2</w:t>
      </w:r>
      <w:r w:rsidRPr="00505F89">
        <w:rPr>
          <w:rFonts w:ascii="Times New Roman" w:eastAsia="MyriadPro-Regular" w:hAnsi="Times New Roman" w:cs="Times New Roman"/>
          <w:color w:val="231F20"/>
          <w:sz w:val="24"/>
          <w:szCs w:val="24"/>
        </w:rPr>
        <w:t>)</w:t>
      </w:r>
      <w:r w:rsidRPr="00505F89">
        <w:rPr>
          <w:rFonts w:ascii="Times New Roman" w:eastAsia="MyriadPro-Regular" w:hAnsi="Times New Roman" w:cs="Times New Roman"/>
          <w:color w:val="231F20"/>
          <w:sz w:val="24"/>
          <w:szCs w:val="24"/>
          <w:vertAlign w:val="subscript"/>
        </w:rPr>
        <w:t>32</w:t>
      </w:r>
      <w:r w:rsidRPr="00505F89">
        <w:rPr>
          <w:rFonts w:ascii="Times New Roman" w:eastAsia="MyriadPro-Regular" w:hAnsi="Times New Roman" w:cs="Times New Roman"/>
          <w:color w:val="231F20"/>
          <w:sz w:val="24"/>
          <w:szCs w:val="24"/>
        </w:rPr>
        <w:t>(O</w:t>
      </w:r>
      <w:r w:rsidRPr="00505F89">
        <w:rPr>
          <w:rFonts w:ascii="Times New Roman" w:eastAsia="MyriadPro-Regular" w:hAnsi="Times New Roman" w:cs="Times New Roman"/>
          <w:color w:val="231F20"/>
          <w:sz w:val="24"/>
          <w:szCs w:val="24"/>
          <w:vertAlign w:val="subscript"/>
        </w:rPr>
        <w:t>2</w:t>
      </w:r>
      <w:r w:rsidRPr="00505F89">
        <w:rPr>
          <w:rFonts w:ascii="Times New Roman" w:eastAsia="MyriadPro-Regular" w:hAnsi="Times New Roman" w:cs="Times New Roman"/>
          <w:color w:val="231F20"/>
          <w:sz w:val="24"/>
          <w:szCs w:val="24"/>
        </w:rPr>
        <w:t>)</w:t>
      </w:r>
      <w:r w:rsidRPr="00505F89">
        <w:rPr>
          <w:rFonts w:ascii="Times New Roman" w:eastAsia="MyriadPro-Regular" w:hAnsi="Times New Roman" w:cs="Times New Roman"/>
          <w:color w:val="231F20"/>
          <w:sz w:val="24"/>
          <w:szCs w:val="24"/>
          <w:vertAlign w:val="subscript"/>
        </w:rPr>
        <w:t>40</w:t>
      </w:r>
      <w:r w:rsidRPr="00505F89">
        <w:rPr>
          <w:rFonts w:ascii="Times New Roman" w:eastAsia="MyriadPro-Regular" w:hAnsi="Times New Roman" w:cs="Times New Roman"/>
          <w:color w:val="231F20"/>
          <w:sz w:val="24"/>
          <w:szCs w:val="24"/>
        </w:rPr>
        <w:t>(OH)</w:t>
      </w:r>
      <w:r w:rsidRPr="00505F89">
        <w:rPr>
          <w:rFonts w:ascii="Times New Roman" w:eastAsia="MyriadPro-Regular" w:hAnsi="Times New Roman" w:cs="Times New Roman"/>
          <w:color w:val="231F20"/>
          <w:sz w:val="24"/>
          <w:szCs w:val="24"/>
          <w:vertAlign w:val="subscript"/>
        </w:rPr>
        <w:t>24</w:t>
      </w:r>
      <w:r w:rsidRPr="00505F89">
        <w:rPr>
          <w:rFonts w:ascii="Times New Roman" w:eastAsia="MyriadPro-Regular" w:hAnsi="Times New Roman" w:cs="Times New Roman"/>
          <w:color w:val="231F20"/>
          <w:sz w:val="24"/>
          <w:szCs w:val="24"/>
        </w:rPr>
        <w:t>]</w:t>
      </w:r>
      <w:r w:rsidRPr="00505F89">
        <w:rPr>
          <w:rFonts w:ascii="Times New Roman" w:eastAsia="MyriadPro-Regular" w:hAnsi="Times New Roman" w:cs="Times New Roman"/>
          <w:color w:val="231F20"/>
          <w:sz w:val="24"/>
          <w:szCs w:val="24"/>
          <w:vertAlign w:val="superscript"/>
        </w:rPr>
        <w:t xml:space="preserve">40– </w:t>
      </w:r>
      <w:r w:rsidRPr="00505F89">
        <w:rPr>
          <w:rFonts w:ascii="Times New Roman" w:eastAsia="MyriadPro-Regular" w:hAnsi="Times New Roman" w:cs="Times New Roman"/>
          <w:color w:val="231F20"/>
          <w:sz w:val="24"/>
          <w:szCs w:val="24"/>
        </w:rPr>
        <w:t>(U</w:t>
      </w:r>
      <w:r w:rsidRPr="00505F89">
        <w:rPr>
          <w:rFonts w:ascii="Times New Roman" w:eastAsia="MyriadPro-Regular" w:hAnsi="Times New Roman" w:cs="Times New Roman"/>
          <w:color w:val="231F20"/>
          <w:sz w:val="24"/>
          <w:szCs w:val="24"/>
          <w:vertAlign w:val="subscript"/>
        </w:rPr>
        <w:t>32</w:t>
      </w:r>
      <w:r w:rsidRPr="00505F89">
        <w:rPr>
          <w:rFonts w:ascii="Times New Roman" w:eastAsia="MyriadPro-Regular" w:hAnsi="Times New Roman" w:cs="Times New Roman"/>
          <w:color w:val="231F20"/>
          <w:sz w:val="24"/>
          <w:szCs w:val="24"/>
        </w:rPr>
        <w:t>)</w:t>
      </w:r>
      <w:r w:rsidRPr="00505F89">
        <w:rPr>
          <w:rFonts w:ascii="Times New Roman" w:eastAsia="MyriadPro-Regular" w:hAnsi="Times New Roman" w:cs="Times New Roman"/>
          <w:color w:val="231F20"/>
          <w:sz w:val="24"/>
          <w:szCs w:val="24"/>
          <w:vertAlign w:val="subscript"/>
        </w:rPr>
        <w:t xml:space="preserve"> </w:t>
      </w:r>
      <w:r w:rsidRPr="00505F89">
        <w:rPr>
          <w:rFonts w:ascii="Times New Roman" w:eastAsia="MyriadPro-Regular" w:hAnsi="Times New Roman" w:cs="Times New Roman"/>
          <w:color w:val="231F20"/>
          <w:sz w:val="24"/>
          <w:szCs w:val="24"/>
        </w:rPr>
        <w:t>from alkaline aqueous solutions into a mixture of kerosene and hexanol with cetyltrimethylammonium bromide as a surfactant. Small angle X-ray scattering (SAXS) analysis confirmed the retention of cluster structures upon movement to the organic medium. Another important feature is that this extraction does not work for monomeric uranyl ions which elucidates the fact that the interactions between clusters and surfactants are responsible for migration of uranium into organic medium. This can possibly be due to the fact that the total charge is diffused over the whole cluster which makes it easier to transition into the organic layer. For U</w:t>
      </w:r>
      <w:r w:rsidRPr="00505F89">
        <w:rPr>
          <w:rFonts w:ascii="Times New Roman" w:eastAsia="MyriadPro-Regular" w:hAnsi="Times New Roman" w:cs="Times New Roman"/>
          <w:color w:val="231F20"/>
          <w:sz w:val="24"/>
          <w:szCs w:val="24"/>
          <w:vertAlign w:val="subscript"/>
        </w:rPr>
        <w:t>32</w:t>
      </w:r>
      <w:r w:rsidRPr="00505F89">
        <w:rPr>
          <w:rFonts w:ascii="Times New Roman" w:eastAsia="MyriadPro-Regular" w:hAnsi="Times New Roman" w:cs="Times New Roman"/>
          <w:color w:val="231F20"/>
          <w:sz w:val="24"/>
          <w:szCs w:val="24"/>
        </w:rPr>
        <w:t>, the maximum distribution ratio (D = 21,000) was achieved at surfactant to cluster ratio of 15:1 and for U</w:t>
      </w:r>
      <w:r w:rsidRPr="00505F89">
        <w:rPr>
          <w:rFonts w:ascii="Times New Roman" w:eastAsia="MyriadPro-Regular" w:hAnsi="Times New Roman" w:cs="Times New Roman"/>
          <w:color w:val="231F20"/>
          <w:sz w:val="24"/>
          <w:szCs w:val="24"/>
          <w:vertAlign w:val="subscript"/>
        </w:rPr>
        <w:t>24</w:t>
      </w:r>
      <w:r w:rsidRPr="00505F89">
        <w:rPr>
          <w:rFonts w:ascii="Times New Roman" w:eastAsia="MyriadPro-Regular" w:hAnsi="Times New Roman" w:cs="Times New Roman"/>
          <w:color w:val="231F20"/>
          <w:sz w:val="24"/>
          <w:szCs w:val="24"/>
        </w:rPr>
        <w:t xml:space="preserve"> (D = 135), was achieved around 22:1.</w:t>
      </w:r>
      <w:r w:rsidR="0060594E" w:rsidRPr="00505F89">
        <w:rPr>
          <w:rFonts w:ascii="Times New Roman" w:eastAsia="MyriadPro-Regular" w:hAnsi="Times New Roman" w:cs="Times New Roman"/>
          <w:color w:val="231F20"/>
          <w:sz w:val="24"/>
          <w:szCs w:val="24"/>
        </w:rPr>
        <w:t xml:space="preserve"> Distribution ratio is defined to be the ratio of concentration of uranium in organic medium to that of in aqueous medium</w:t>
      </w:r>
      <w:r w:rsidR="00BF625D" w:rsidRPr="00505F89">
        <w:rPr>
          <w:rFonts w:ascii="Times New Roman" w:eastAsia="MyriadPro-Regular" w:hAnsi="Times New Roman" w:cs="Times New Roman"/>
          <w:color w:val="231F20"/>
          <w:sz w:val="24"/>
          <w:szCs w:val="24"/>
        </w:rPr>
        <w:t xml:space="preserve">. </w:t>
      </w:r>
      <w:r w:rsidR="00F50948" w:rsidRPr="00505F89">
        <w:rPr>
          <w:rFonts w:ascii="Times New Roman" w:eastAsia="MyriadPro-Regular" w:hAnsi="Times New Roman" w:cs="Times New Roman"/>
          <w:color w:val="231F20"/>
          <w:sz w:val="24"/>
          <w:szCs w:val="24"/>
        </w:rPr>
        <w:t>Distribution ratio</w:t>
      </w:r>
      <w:r w:rsidR="00D07B50" w:rsidRPr="00505F89">
        <w:rPr>
          <w:rFonts w:ascii="Times New Roman" w:eastAsia="MyriadPro-Regular" w:hAnsi="Times New Roman" w:cs="Times New Roman"/>
          <w:color w:val="231F20"/>
          <w:sz w:val="24"/>
          <w:szCs w:val="24"/>
        </w:rPr>
        <w:t xml:space="preserve">s reported for </w:t>
      </w:r>
      <w:r w:rsidR="00661F76" w:rsidRPr="00505F89">
        <w:rPr>
          <w:rFonts w:ascii="Times New Roman" w:eastAsia="MyriadPro-Regular" w:hAnsi="Times New Roman" w:cs="Times New Roman"/>
          <w:color w:val="231F20"/>
          <w:sz w:val="24"/>
          <w:szCs w:val="24"/>
        </w:rPr>
        <w:t xml:space="preserve">0.5 mol/L </w:t>
      </w:r>
      <w:r w:rsidR="006346E8" w:rsidRPr="00505F89">
        <w:rPr>
          <w:rFonts w:ascii="Times New Roman" w:eastAsia="MyriadPro-Regular" w:hAnsi="Times New Roman" w:cs="Times New Roman"/>
          <w:color w:val="231F20"/>
          <w:sz w:val="24"/>
          <w:szCs w:val="24"/>
        </w:rPr>
        <w:t xml:space="preserve">of </w:t>
      </w:r>
      <w:r w:rsidR="00D07B50" w:rsidRPr="00505F89">
        <w:rPr>
          <w:rFonts w:ascii="Times New Roman" w:eastAsia="MyriadPro-Regular" w:hAnsi="Times New Roman" w:cs="Times New Roman"/>
          <w:color w:val="231F20"/>
          <w:sz w:val="24"/>
          <w:szCs w:val="24"/>
        </w:rPr>
        <w:t>phosphoric acid base</w:t>
      </w:r>
      <w:r w:rsidR="00661F76" w:rsidRPr="00505F89">
        <w:rPr>
          <w:rFonts w:ascii="Times New Roman" w:eastAsia="MyriadPro-Regular" w:hAnsi="Times New Roman" w:cs="Times New Roman"/>
          <w:color w:val="231F20"/>
          <w:sz w:val="24"/>
          <w:szCs w:val="24"/>
        </w:rPr>
        <w:t>d</w:t>
      </w:r>
      <w:r w:rsidR="00D07B50" w:rsidRPr="00505F89">
        <w:rPr>
          <w:rFonts w:ascii="Times New Roman" w:eastAsia="MyriadPro-Regular" w:hAnsi="Times New Roman" w:cs="Times New Roman"/>
          <w:color w:val="231F20"/>
          <w:sz w:val="24"/>
          <w:szCs w:val="24"/>
        </w:rPr>
        <w:t xml:space="preserve"> extractants</w:t>
      </w:r>
      <w:r w:rsidR="006346E8" w:rsidRPr="00505F89">
        <w:rPr>
          <w:rFonts w:ascii="Times New Roman" w:eastAsia="MyriadPro-Regular" w:hAnsi="Times New Roman" w:cs="Times New Roman"/>
          <w:color w:val="231F20"/>
          <w:sz w:val="24"/>
          <w:szCs w:val="24"/>
        </w:rPr>
        <w:t xml:space="preserve"> for 0.34</w:t>
      </w:r>
      <w:r w:rsidR="00CB2374" w:rsidRPr="00505F89">
        <w:rPr>
          <w:rFonts w:ascii="Times New Roman" w:eastAsia="MyriadPro-Regular" w:hAnsi="Times New Roman" w:cs="Times New Roman"/>
          <w:color w:val="231F20"/>
          <w:sz w:val="24"/>
          <w:szCs w:val="24"/>
        </w:rPr>
        <w:t xml:space="preserve"> g/L of U(VI)</w:t>
      </w:r>
      <w:r w:rsidR="00D07B50" w:rsidRPr="00505F89">
        <w:rPr>
          <w:rFonts w:ascii="Times New Roman" w:eastAsia="MyriadPro-Regular" w:hAnsi="Times New Roman" w:cs="Times New Roman"/>
          <w:color w:val="231F20"/>
          <w:sz w:val="24"/>
          <w:szCs w:val="24"/>
        </w:rPr>
        <w:t xml:space="preserve"> lie in range of </w:t>
      </w:r>
      <w:r w:rsidR="00CB2374" w:rsidRPr="00505F89">
        <w:rPr>
          <w:rFonts w:ascii="Times New Roman" w:eastAsia="MyriadPro-Regular" w:hAnsi="Times New Roman" w:cs="Times New Roman"/>
          <w:color w:val="231F20"/>
          <w:sz w:val="24"/>
          <w:szCs w:val="24"/>
        </w:rPr>
        <w:t>25-45.</w:t>
      </w:r>
      <w:r w:rsidR="00962F8B" w:rsidRPr="00505F89">
        <w:rPr>
          <w:rFonts w:ascii="Times New Roman" w:eastAsia="MyriadPro-Regular" w:hAnsi="Times New Roman" w:cs="Times New Roman"/>
          <w:color w:val="231F20"/>
          <w:sz w:val="24"/>
          <w:szCs w:val="24"/>
        </w:rPr>
        <w:fldChar w:fldCharType="begin"/>
      </w:r>
      <w:r w:rsidR="005E0D25" w:rsidRPr="00505F89">
        <w:rPr>
          <w:rFonts w:ascii="Times New Roman" w:eastAsia="MyriadPro-Regular" w:hAnsi="Times New Roman" w:cs="Times New Roman"/>
          <w:color w:val="231F20"/>
          <w:sz w:val="24"/>
          <w:szCs w:val="24"/>
        </w:rPr>
        <w:instrText xml:space="preserve"> ADDIN EN.CITE &lt;EndNote&gt;&lt;Cite&gt;&lt;Author&gt;Beltrami&lt;/Author&gt;&lt;Year&gt;2014&lt;/Year&gt;&lt;RecNum&gt;40&lt;/RecNum&gt;&lt;DisplayText&gt;&lt;style face="superscript"&gt;2&lt;/style&gt;&lt;/DisplayText&gt;&lt;record&gt;&lt;rec-number&gt;40&lt;/rec-number&gt;&lt;foreign-keys&gt;&lt;key app="EN" db-id="25rxa2te7frr21efrtj5evr8vxrresw5vawx" timestamp="1665634233"&gt;40&lt;/key&gt;&lt;/foreign-keys&gt;&lt;ref-type name="Journal Article"&gt;17&lt;/ref-type&gt;&lt;contributors&gt;&lt;authors&gt;&lt;author&gt;Beltrami, Denis&lt;/author&gt;&lt;author&gt;Cote, Gérard&lt;/author&gt;&lt;author&gt;Mokhtari, Hamid&lt;/author&gt;&lt;author&gt;Courtaud, Bruno&lt;/author&gt;&lt;author&gt;Moyer, Bruce A.&lt;/author&gt;&lt;author&gt;Chagnes, Alexandre&lt;/author&gt;&lt;/authors&gt;&lt;/contributors&gt;&lt;titles&gt;&lt;title&gt;Recovery of Uranium from Wet Phosphoric Acid by Solvent Extraction Processes&lt;/title&gt;&lt;secondary-title&gt;Chemical Reviews&lt;/secondary-title&gt;&lt;/titles&gt;&lt;periodical&gt;&lt;full-title&gt;Chemical Reviews&lt;/full-title&gt;&lt;/periodical&gt;&lt;pages&gt;12002-12023&lt;/pages&gt;&lt;volume&gt;114&lt;/volume&gt;&lt;number&gt;24&lt;/number&gt;&lt;dates&gt;&lt;year&gt;2014&lt;/year&gt;&lt;pub-dates&gt;&lt;date&gt;2014/12/24&lt;/date&gt;&lt;/pub-dates&gt;&lt;/dates&gt;&lt;publisher&gt;American Chemical Society&lt;/publisher&gt;&lt;isbn&gt;0009-2665&lt;/isbn&gt;&lt;urls&gt;&lt;related-urls&gt;&lt;url&gt;https://doi.org/10.1021/cr5001546&lt;/url&gt;&lt;/related-urls&gt;&lt;/urls&gt;&lt;electronic-resource-num&gt;10.1021/cr5001546&lt;/electronic-resource-num&gt;&lt;/record&gt;&lt;/Cite&gt;&lt;/EndNote&gt;</w:instrText>
      </w:r>
      <w:r w:rsidR="00962F8B" w:rsidRPr="00505F89">
        <w:rPr>
          <w:rFonts w:ascii="Times New Roman" w:eastAsia="MyriadPro-Regular" w:hAnsi="Times New Roman" w:cs="Times New Roman"/>
          <w:color w:val="231F20"/>
          <w:sz w:val="24"/>
          <w:szCs w:val="24"/>
        </w:rPr>
        <w:fldChar w:fldCharType="separate"/>
      </w:r>
      <w:r w:rsidR="005E0D25" w:rsidRPr="00505F89">
        <w:rPr>
          <w:rFonts w:ascii="Times New Roman" w:eastAsia="MyriadPro-Regular" w:hAnsi="Times New Roman" w:cs="Times New Roman"/>
          <w:noProof/>
          <w:color w:val="231F20"/>
          <w:sz w:val="24"/>
          <w:szCs w:val="24"/>
          <w:vertAlign w:val="superscript"/>
        </w:rPr>
        <w:t>2</w:t>
      </w:r>
      <w:r w:rsidR="00962F8B" w:rsidRPr="00505F89">
        <w:rPr>
          <w:rFonts w:ascii="Times New Roman" w:eastAsia="MyriadPro-Regular" w:hAnsi="Times New Roman" w:cs="Times New Roman"/>
          <w:color w:val="231F20"/>
          <w:sz w:val="24"/>
          <w:szCs w:val="24"/>
        </w:rPr>
        <w:fldChar w:fldCharType="end"/>
      </w:r>
      <w:r w:rsidR="00CB2374" w:rsidRPr="00505F89">
        <w:rPr>
          <w:rFonts w:ascii="Times New Roman" w:eastAsia="MyriadPro-Regular" w:hAnsi="Times New Roman" w:cs="Times New Roman"/>
          <w:color w:val="231F20"/>
          <w:sz w:val="24"/>
          <w:szCs w:val="24"/>
        </w:rPr>
        <w:t xml:space="preserve"> </w:t>
      </w:r>
      <w:r w:rsidRPr="00505F89">
        <w:rPr>
          <w:rFonts w:ascii="Times New Roman" w:eastAsia="MyriadPro-Regular" w:hAnsi="Times New Roman" w:cs="Times New Roman"/>
          <w:color w:val="231F20"/>
          <w:sz w:val="24"/>
          <w:szCs w:val="24"/>
        </w:rPr>
        <w:t xml:space="preserve">The reported synthesis and extraction protocol was also tested on SIMFUEL.  </w:t>
      </w:r>
      <w:r w:rsidR="00161C9D" w:rsidRPr="00505F89">
        <w:rPr>
          <w:rFonts w:ascii="Times New Roman" w:eastAsia="MyriadPro-Regular" w:hAnsi="Times New Roman" w:cs="Times New Roman"/>
          <w:color w:val="231F20"/>
          <w:sz w:val="24"/>
          <w:szCs w:val="24"/>
        </w:rPr>
        <w:t xml:space="preserve">SIMFUEL comprises of representative mixture </w:t>
      </w:r>
      <w:r w:rsidR="00B35164" w:rsidRPr="00505F89">
        <w:rPr>
          <w:rFonts w:ascii="Times New Roman" w:eastAsia="MyriadPro-Regular" w:hAnsi="Times New Roman" w:cs="Times New Roman"/>
          <w:color w:val="231F20"/>
          <w:sz w:val="24"/>
          <w:szCs w:val="24"/>
        </w:rPr>
        <w:t xml:space="preserve">of uranium and other fission products which can be used to simulate the behavior of post fission nuclear fuel. </w:t>
      </w:r>
      <w:r w:rsidRPr="00505F89">
        <w:rPr>
          <w:rFonts w:ascii="Times New Roman" w:eastAsia="MyriadPro-Regular" w:hAnsi="Times New Roman" w:cs="Times New Roman"/>
          <w:color w:val="231F20"/>
          <w:sz w:val="24"/>
          <w:szCs w:val="24"/>
        </w:rPr>
        <w:t xml:space="preserve">More than 90% of the </w:t>
      </w:r>
      <w:r w:rsidRPr="00505F89">
        <w:rPr>
          <w:rFonts w:ascii="Times New Roman" w:eastAsia="MyriadPro-Regular" w:hAnsi="Times New Roman" w:cs="Times New Roman"/>
          <w:color w:val="231F20"/>
          <w:sz w:val="24"/>
          <w:szCs w:val="24"/>
        </w:rPr>
        <w:lastRenderedPageBreak/>
        <w:t>uranium could be extracted in the form of the U</w:t>
      </w:r>
      <w:r w:rsidRPr="00505F89">
        <w:rPr>
          <w:rFonts w:ascii="Times New Roman" w:eastAsia="MyriadPro-Regular" w:hAnsi="Times New Roman" w:cs="Times New Roman"/>
          <w:color w:val="231F20"/>
          <w:sz w:val="24"/>
          <w:szCs w:val="24"/>
          <w:vertAlign w:val="subscript"/>
        </w:rPr>
        <w:t>32</w:t>
      </w:r>
      <w:r w:rsidRPr="00505F89">
        <w:rPr>
          <w:rFonts w:ascii="Times New Roman" w:eastAsia="MyriadPro-Regular" w:hAnsi="Times New Roman" w:cs="Times New Roman"/>
          <w:color w:val="231F20"/>
          <w:sz w:val="24"/>
          <w:szCs w:val="24"/>
        </w:rPr>
        <w:t xml:space="preserve"> cluster </w:t>
      </w:r>
      <w:r w:rsidR="0060594E" w:rsidRPr="00505F89">
        <w:rPr>
          <w:rFonts w:ascii="Times New Roman" w:eastAsia="MyriadPro-Regular" w:hAnsi="Times New Roman" w:cs="Times New Roman"/>
          <w:color w:val="231F20"/>
          <w:sz w:val="24"/>
          <w:szCs w:val="24"/>
        </w:rPr>
        <w:t>with less than 0.4% of Ba, Cs, Zr and rare earth metals</w:t>
      </w:r>
      <w:r w:rsidR="000C1358" w:rsidRPr="00505F89">
        <w:rPr>
          <w:rFonts w:ascii="Times New Roman" w:eastAsia="MyriadPro-Regular" w:hAnsi="Times New Roman" w:cs="Times New Roman"/>
          <w:color w:val="231F20"/>
          <w:sz w:val="24"/>
          <w:szCs w:val="24"/>
        </w:rPr>
        <w:t xml:space="preserve"> (</w:t>
      </w:r>
      <w:r w:rsidR="00346F12">
        <w:rPr>
          <w:rFonts w:ascii="Times New Roman" w:eastAsia="MyriadPro-Regular" w:hAnsi="Times New Roman" w:cs="Times New Roman"/>
          <w:color w:val="231F20"/>
          <w:sz w:val="24"/>
          <w:szCs w:val="24"/>
        </w:rPr>
        <w:t>F</w:t>
      </w:r>
      <w:r w:rsidR="000C1358" w:rsidRPr="00505F89">
        <w:rPr>
          <w:rFonts w:ascii="Times New Roman" w:eastAsia="MyriadPro-Regular" w:hAnsi="Times New Roman" w:cs="Times New Roman"/>
          <w:color w:val="231F20"/>
          <w:sz w:val="24"/>
          <w:szCs w:val="24"/>
        </w:rPr>
        <w:t>igure 1)</w:t>
      </w:r>
      <w:r w:rsidRPr="00505F89">
        <w:rPr>
          <w:rFonts w:ascii="Times New Roman" w:eastAsia="MyriadPro-Regular" w:hAnsi="Times New Roman" w:cs="Times New Roman"/>
          <w:color w:val="231F20"/>
          <w:sz w:val="24"/>
          <w:szCs w:val="24"/>
        </w:rPr>
        <w:t>.</w:t>
      </w:r>
      <w:r w:rsidR="001B47F3" w:rsidRPr="00505F89">
        <w:rPr>
          <w:rFonts w:ascii="Times New Roman" w:eastAsia="MyriadPro-Regular" w:hAnsi="Times New Roman" w:cs="Times New Roman"/>
          <w:color w:val="231F20"/>
          <w:sz w:val="24"/>
          <w:szCs w:val="24"/>
        </w:rPr>
        <w:fldChar w:fldCharType="begin"/>
      </w:r>
      <w:r w:rsidR="005E0D25" w:rsidRPr="00505F89">
        <w:rPr>
          <w:rFonts w:ascii="Times New Roman" w:eastAsia="MyriadPro-Regular" w:hAnsi="Times New Roman" w:cs="Times New Roman"/>
          <w:color w:val="231F20"/>
          <w:sz w:val="24"/>
          <w:szCs w:val="24"/>
        </w:rPr>
        <w:instrText xml:space="preserve"> ADDIN EN.CITE &lt;EndNote&gt;&lt;Cite&gt;&lt;Author&gt;Neal&lt;/Author&gt;&lt;Year&gt;2017&lt;/Year&gt;&lt;RecNum&gt;30&lt;/RecNum&gt;&lt;DisplayText&gt;&lt;style face="superscript"&gt;3&lt;/style&gt;&lt;/DisplayText&gt;&lt;record&gt;&lt;rec-number&gt;30&lt;/rec-number&gt;&lt;foreign-keys&gt;&lt;key app="EN" db-id="25rxa2te7frr21efrtj5evr8vxrresw5vawx" timestamp="1665549473"&gt;30&lt;/key&gt;&lt;/foreign-keys&gt;&lt;ref-type name="Journal Article"&gt;17&lt;/ref-type&gt;&lt;contributors&gt;&lt;authors&gt;&lt;author&gt;Neal, Harrison A.&lt;/author&gt;&lt;author&gt;Szymanowski, Jennifer&lt;/author&gt;&lt;author&gt;Fein, Jeremy B.&lt;/author&gt;&lt;author&gt;Burns, Peter C.&lt;/author&gt;&lt;author&gt;Nyman, May&lt;/author&gt;&lt;/authors&gt;&lt;/contributors&gt;&lt;titles&gt;&lt;title&gt;Benchmarking Uranyl Peroxide Capsule Chemistry in Organic Media&lt;/title&gt;&lt;secondary-title&gt;European Journal of Inoraganc Chemistry&lt;/secondary-title&gt;&lt;/titles&gt;&lt;periodical&gt;&lt;full-title&gt;European Journal of Inoraganc Chemistry&lt;/full-title&gt;&lt;/periodical&gt;&lt;pages&gt;39-46&lt;/pages&gt;&lt;volume&gt;2017&lt;/volume&gt;&lt;number&gt;1&lt;/number&gt;&lt;dates&gt;&lt;year&gt;2017&lt;/year&gt;&lt;/dates&gt;&lt;isbn&gt;1434-1948&lt;/isbn&gt;&lt;urls&gt;&lt;related-urls&gt;&lt;url&gt;https://chemistry-europe.onlinelibrary.wiley.com/doi/abs/10.1002/ejic.201601219&lt;/url&gt;&lt;/related-urls&gt;&lt;/urls&gt;&lt;electronic-resource-num&gt;https://doi.org/10.1002/ejic.201601219&lt;/electronic-resource-num&gt;&lt;/record&gt;&lt;/Cite&gt;&lt;/EndNote&gt;</w:instrText>
      </w:r>
      <w:r w:rsidR="001B47F3" w:rsidRPr="00505F89">
        <w:rPr>
          <w:rFonts w:ascii="Times New Roman" w:eastAsia="MyriadPro-Regular" w:hAnsi="Times New Roman" w:cs="Times New Roman"/>
          <w:color w:val="231F20"/>
          <w:sz w:val="24"/>
          <w:szCs w:val="24"/>
        </w:rPr>
        <w:fldChar w:fldCharType="separate"/>
      </w:r>
      <w:r w:rsidR="005E0D25" w:rsidRPr="00505F89">
        <w:rPr>
          <w:rFonts w:ascii="Times New Roman" w:eastAsia="MyriadPro-Regular" w:hAnsi="Times New Roman" w:cs="Times New Roman"/>
          <w:noProof/>
          <w:color w:val="231F20"/>
          <w:sz w:val="24"/>
          <w:szCs w:val="24"/>
          <w:vertAlign w:val="superscript"/>
        </w:rPr>
        <w:t>3</w:t>
      </w:r>
      <w:r w:rsidR="001B47F3" w:rsidRPr="00505F89">
        <w:rPr>
          <w:rFonts w:ascii="Times New Roman" w:eastAsia="MyriadPro-Regular" w:hAnsi="Times New Roman" w:cs="Times New Roman"/>
          <w:color w:val="231F20"/>
          <w:sz w:val="24"/>
          <w:szCs w:val="24"/>
        </w:rPr>
        <w:fldChar w:fldCharType="end"/>
      </w:r>
    </w:p>
    <w:p w14:paraId="52D2279B" w14:textId="084F59E0" w:rsidR="00E55755" w:rsidRPr="00505F89" w:rsidRDefault="00420D7B" w:rsidP="00F85417">
      <w:pPr>
        <w:spacing w:line="276" w:lineRule="auto"/>
        <w:ind w:firstLine="720"/>
        <w:jc w:val="center"/>
        <w:rPr>
          <w:rFonts w:ascii="Times New Roman" w:eastAsia="MyriadPro-Regular" w:hAnsi="Times New Roman" w:cs="Times New Roman"/>
          <w:color w:val="231F20"/>
          <w:sz w:val="24"/>
          <w:szCs w:val="24"/>
        </w:rPr>
      </w:pPr>
      <w:r w:rsidRPr="00505F89">
        <w:rPr>
          <w:rFonts w:ascii="Times New Roman" w:eastAsia="MyriadPro-Regular" w:hAnsi="Times New Roman" w:cs="Times New Roman"/>
          <w:noProof/>
          <w:color w:val="231F20"/>
          <w:sz w:val="24"/>
          <w:szCs w:val="24"/>
        </w:rPr>
        <w:drawing>
          <wp:inline distT="0" distB="0" distL="0" distR="0" wp14:anchorId="673791D5" wp14:editId="0D274F25">
            <wp:extent cx="5142304" cy="2518410"/>
            <wp:effectExtent l="0" t="0" r="1270" b="0"/>
            <wp:docPr id="8" name="Picture 4" descr="Chart, bar chart&#10;&#10;Description automatically generated">
              <a:extLst xmlns:a="http://schemas.openxmlformats.org/drawingml/2006/main">
                <a:ext uri="{FF2B5EF4-FFF2-40B4-BE49-F238E27FC236}">
                  <a16:creationId xmlns:a16="http://schemas.microsoft.com/office/drawing/2014/main" id="{A6A29FD6-3568-B928-8A31-AF303D3A62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Chart, bar chart&#10;&#10;Description automatically generated">
                      <a:extLst>
                        <a:ext uri="{FF2B5EF4-FFF2-40B4-BE49-F238E27FC236}">
                          <a16:creationId xmlns:a16="http://schemas.microsoft.com/office/drawing/2014/main" id="{A6A29FD6-3568-B928-8A31-AF303D3A62AE}"/>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48454" cy="2521422"/>
                    </a:xfrm>
                    <a:prstGeom prst="rect">
                      <a:avLst/>
                    </a:prstGeom>
                  </pic:spPr>
                </pic:pic>
              </a:graphicData>
            </a:graphic>
          </wp:inline>
        </w:drawing>
      </w:r>
    </w:p>
    <w:p w14:paraId="17DD72E5" w14:textId="6B7EBEE0" w:rsidR="00E55755" w:rsidRPr="00505F89" w:rsidRDefault="00E55755" w:rsidP="00F85417">
      <w:pPr>
        <w:spacing w:line="276" w:lineRule="auto"/>
        <w:ind w:left="720" w:firstLine="720"/>
        <w:jc w:val="center"/>
        <w:rPr>
          <w:rFonts w:ascii="Times New Roman" w:eastAsia="MyriadPro-Regular" w:hAnsi="Times New Roman" w:cs="Times New Roman"/>
          <w:color w:val="231F20"/>
          <w:sz w:val="24"/>
          <w:szCs w:val="24"/>
        </w:rPr>
      </w:pPr>
      <w:r w:rsidRPr="00505F89">
        <w:rPr>
          <w:rFonts w:ascii="Times New Roman" w:eastAsia="MyriadPro-Regular" w:hAnsi="Times New Roman" w:cs="Times New Roman"/>
          <w:b/>
          <w:bCs/>
          <w:color w:val="231F20"/>
          <w:sz w:val="24"/>
          <w:szCs w:val="24"/>
        </w:rPr>
        <w:t>Figure 1</w:t>
      </w:r>
      <w:r w:rsidRPr="00505F89">
        <w:rPr>
          <w:rFonts w:ascii="Times New Roman" w:eastAsia="MyriadPro-Regular" w:hAnsi="Times New Roman" w:cs="Times New Roman"/>
          <w:color w:val="231F20"/>
          <w:sz w:val="24"/>
          <w:szCs w:val="24"/>
        </w:rPr>
        <w:t xml:space="preserve">. </w:t>
      </w:r>
      <w:r w:rsidR="00420D7B" w:rsidRPr="00505F89">
        <w:rPr>
          <w:rFonts w:ascii="Times New Roman" w:eastAsia="MyriadPro-Regular" w:hAnsi="Times New Roman" w:cs="Times New Roman"/>
          <w:color w:val="231F20"/>
          <w:sz w:val="24"/>
          <w:szCs w:val="24"/>
        </w:rPr>
        <w:t xml:space="preserve">Composition analysis of </w:t>
      </w:r>
      <w:r w:rsidR="006F1CD4" w:rsidRPr="00505F89">
        <w:rPr>
          <w:rFonts w:ascii="Times New Roman" w:eastAsia="MyriadPro-Regular" w:hAnsi="Times New Roman" w:cs="Times New Roman"/>
          <w:color w:val="231F20"/>
          <w:sz w:val="24"/>
          <w:szCs w:val="24"/>
        </w:rPr>
        <w:t>aqueous solution, black precipitates and organic layer after extraction</w:t>
      </w:r>
    </w:p>
    <w:p w14:paraId="258D7A35" w14:textId="786D884A" w:rsidR="00E55755" w:rsidRPr="00505F89" w:rsidRDefault="00E55755" w:rsidP="00F85417">
      <w:pPr>
        <w:spacing w:line="276" w:lineRule="auto"/>
        <w:ind w:firstLine="720"/>
        <w:jc w:val="both"/>
        <w:rPr>
          <w:rFonts w:ascii="Times New Roman" w:eastAsia="MyriadPro-Regular" w:hAnsi="Times New Roman" w:cs="Times New Roman"/>
          <w:color w:val="231F20"/>
          <w:sz w:val="24"/>
          <w:szCs w:val="24"/>
        </w:rPr>
      </w:pPr>
      <w:r w:rsidRPr="00505F89">
        <w:rPr>
          <w:rFonts w:ascii="Times New Roman" w:eastAsia="MyriadPro-Regular" w:hAnsi="Times New Roman" w:cs="Times New Roman"/>
          <w:color w:val="231F20"/>
          <w:sz w:val="24"/>
          <w:szCs w:val="24"/>
        </w:rPr>
        <w:t xml:space="preserve">Burns and co-workers investigated the separation of UPCs </w:t>
      </w:r>
      <w:r w:rsidR="0073641D" w:rsidRPr="00505F89">
        <w:rPr>
          <w:rFonts w:ascii="Times New Roman" w:eastAsia="MyriadPro-Regular" w:hAnsi="Times New Roman" w:cs="Times New Roman"/>
          <w:color w:val="231F20"/>
          <w:sz w:val="24"/>
          <w:szCs w:val="24"/>
        </w:rPr>
        <w:t>(U</w:t>
      </w:r>
      <w:r w:rsidR="0073641D" w:rsidRPr="00505F89">
        <w:rPr>
          <w:rFonts w:ascii="Times New Roman" w:eastAsia="MyriadPro-Regular" w:hAnsi="Times New Roman" w:cs="Times New Roman"/>
          <w:color w:val="231F20"/>
          <w:sz w:val="24"/>
          <w:szCs w:val="24"/>
          <w:vertAlign w:val="subscript"/>
        </w:rPr>
        <w:t>24</w:t>
      </w:r>
      <w:r w:rsidR="0073641D" w:rsidRPr="00505F89">
        <w:rPr>
          <w:rFonts w:ascii="Times New Roman" w:eastAsia="MyriadPro-Regular" w:hAnsi="Times New Roman" w:cs="Times New Roman"/>
          <w:color w:val="231F20"/>
          <w:sz w:val="24"/>
          <w:szCs w:val="24"/>
        </w:rPr>
        <w:t>, U</w:t>
      </w:r>
      <w:r w:rsidR="0073641D" w:rsidRPr="00505F89">
        <w:rPr>
          <w:rFonts w:ascii="Times New Roman" w:eastAsia="MyriadPro-Regular" w:hAnsi="Times New Roman" w:cs="Times New Roman"/>
          <w:color w:val="231F20"/>
          <w:sz w:val="24"/>
          <w:szCs w:val="24"/>
          <w:vertAlign w:val="subscript"/>
        </w:rPr>
        <w:t>28</w:t>
      </w:r>
      <w:r w:rsidR="0073641D" w:rsidRPr="00505F89">
        <w:rPr>
          <w:rFonts w:ascii="Times New Roman" w:eastAsia="MyriadPro-Regular" w:hAnsi="Times New Roman" w:cs="Times New Roman"/>
          <w:color w:val="231F20"/>
          <w:sz w:val="24"/>
          <w:szCs w:val="24"/>
        </w:rPr>
        <w:t>, U</w:t>
      </w:r>
      <w:r w:rsidR="0073641D" w:rsidRPr="00505F89">
        <w:rPr>
          <w:rFonts w:ascii="Times New Roman" w:eastAsia="MyriadPro-Regular" w:hAnsi="Times New Roman" w:cs="Times New Roman"/>
          <w:color w:val="231F20"/>
          <w:sz w:val="24"/>
          <w:szCs w:val="24"/>
          <w:vertAlign w:val="subscript"/>
        </w:rPr>
        <w:t>32</w:t>
      </w:r>
      <w:r w:rsidR="0073641D" w:rsidRPr="00505F89">
        <w:rPr>
          <w:rFonts w:ascii="Times New Roman" w:eastAsia="MyriadPro-Regular" w:hAnsi="Times New Roman" w:cs="Times New Roman"/>
          <w:color w:val="231F20"/>
          <w:sz w:val="24"/>
          <w:szCs w:val="24"/>
        </w:rPr>
        <w:t>)</w:t>
      </w:r>
      <w:r w:rsidRPr="00505F89">
        <w:rPr>
          <w:rFonts w:ascii="Times New Roman" w:eastAsia="MyriadPro-Regular" w:hAnsi="Times New Roman" w:cs="Times New Roman"/>
          <w:color w:val="231F20"/>
          <w:sz w:val="24"/>
          <w:szCs w:val="24"/>
        </w:rPr>
        <w:t xml:space="preserve"> by membrane-based ultrafiltration methods. Three membranes with molecular mass cutoffs of 3, 8 and 20 kDa gave sieving coefficients of 0.05, 0.15 and 0.37, respectively (the sieving coefficient is the ratio of uranium concentration in the permeate to the uranium concentration in the feed solution). Uranyl nitrate hexahydrate solution was used as control to establish if  monomeric uranyl ions</w:t>
      </w:r>
      <w:r w:rsidR="0060594E" w:rsidRPr="00505F89">
        <w:rPr>
          <w:rFonts w:ascii="Times New Roman" w:eastAsia="MyriadPro-Regular" w:hAnsi="Times New Roman" w:cs="Times New Roman"/>
          <w:color w:val="231F20"/>
          <w:sz w:val="24"/>
          <w:szCs w:val="24"/>
        </w:rPr>
        <w:t xml:space="preserve"> can be separated via ultrafiltration without cluster formation</w:t>
      </w:r>
      <w:r w:rsidRPr="00505F89">
        <w:rPr>
          <w:rFonts w:ascii="Times New Roman" w:eastAsia="MyriadPro-Regular" w:hAnsi="Times New Roman" w:cs="Times New Roman"/>
          <w:color w:val="231F20"/>
          <w:sz w:val="24"/>
          <w:szCs w:val="24"/>
        </w:rPr>
        <w:t>. Uranyl ions were able to pass through the membranes due to their small sizes</w:t>
      </w:r>
      <w:r w:rsidR="001B47F3" w:rsidRPr="00505F89">
        <w:rPr>
          <w:rFonts w:ascii="Times New Roman" w:eastAsia="MyriadPro-Regular" w:hAnsi="Times New Roman" w:cs="Times New Roman"/>
          <w:color w:val="231F20"/>
          <w:sz w:val="24"/>
          <w:szCs w:val="24"/>
        </w:rPr>
        <w:t>, thus, elucidating the role of UPCs in separation of uranium via ultrafiltration.</w:t>
      </w:r>
      <w:r w:rsidR="001B47F3" w:rsidRPr="00505F89">
        <w:rPr>
          <w:rFonts w:ascii="Times New Roman" w:eastAsia="MyriadPro-Regular" w:hAnsi="Times New Roman" w:cs="Times New Roman"/>
          <w:color w:val="231F20"/>
          <w:sz w:val="24"/>
          <w:szCs w:val="24"/>
        </w:rPr>
        <w:fldChar w:fldCharType="begin"/>
      </w:r>
      <w:r w:rsidR="001B47F3" w:rsidRPr="00505F89">
        <w:rPr>
          <w:rFonts w:ascii="Times New Roman" w:eastAsia="MyriadPro-Regular" w:hAnsi="Times New Roman" w:cs="Times New Roman"/>
          <w:color w:val="231F20"/>
          <w:sz w:val="24"/>
          <w:szCs w:val="24"/>
        </w:rPr>
        <w:instrText xml:space="preserve"> ADDIN EN.CITE &lt;EndNote&gt;&lt;Cite&gt;&lt;Author&gt;Wylie&lt;/Author&gt;&lt;Year&gt;2014&lt;/Year&gt;&lt;RecNum&gt;39&lt;/RecNum&gt;&lt;DisplayText&gt;&lt;style face="superscript"&gt;6&lt;/style&gt;&lt;/DisplayText&gt;&lt;record&gt;&lt;rec-number&gt;39&lt;/rec-number&gt;&lt;foreign-keys&gt;&lt;key app="EN" db-id="25rxa2te7frr21efrtj5evr8vxrresw5vawx" timestamp="1665624645"&gt;39&lt;/key&gt;&lt;/foreign-keys&gt;&lt;ref-type name="Journal Article"&gt;17&lt;/ref-type&gt;&lt;contributors&gt;&lt;authors&gt;&lt;author&gt;Wylie, Ernest M.&lt;/author&gt;&lt;author&gt;Peruski, Kathryn M.&lt;/author&gt;&lt;author&gt;Weidman, Jacob L.&lt;/author&gt;&lt;author&gt;Phillip, William A.&lt;/author&gt;&lt;author&gt;Burns, Peter C.&lt;/author&gt;&lt;/authors&gt;&lt;/contributors&gt;&lt;titles&gt;&lt;title&gt;Ultrafiltration of Uranyl Peroxide Nanoclusters for the Separation of Uranium from Aqueous Solution&lt;/title&gt;&lt;secondary-title&gt;ACS Applied Materials &amp;amp; Interfaces&lt;/secondary-title&gt;&lt;/titles&gt;&lt;periodical&gt;&lt;full-title&gt;ACS Appl Mater Interfaces&lt;/full-title&gt;&lt;abbr-1&gt;ACS applied materials &amp;amp; interfaces&lt;/abbr-1&gt;&lt;/periodical&gt;&lt;pages&gt;473-479&lt;/pages&gt;&lt;volume&gt;6&lt;/volume&gt;&lt;number&gt;1&lt;/number&gt;&lt;dates&gt;&lt;year&gt;2014&lt;/year&gt;&lt;pub-dates&gt;&lt;date&gt;2014/01/08&lt;/date&gt;&lt;/pub-dates&gt;&lt;/dates&gt;&lt;publisher&gt;American Chemical Society&lt;/publisher&gt;&lt;isbn&gt;1944-8244&lt;/isbn&gt;&lt;urls&gt;&lt;related-urls&gt;&lt;url&gt;https://doi.org/10.1021/am404520b&lt;/url&gt;&lt;/related-urls&gt;&lt;/urls&gt;&lt;electronic-resource-num&gt;10.1021/am404520b&lt;/electronic-resource-num&gt;&lt;/record&gt;&lt;/Cite&gt;&lt;/EndNote&gt;</w:instrText>
      </w:r>
      <w:r w:rsidR="001B47F3" w:rsidRPr="00505F89">
        <w:rPr>
          <w:rFonts w:ascii="Times New Roman" w:eastAsia="MyriadPro-Regular" w:hAnsi="Times New Roman" w:cs="Times New Roman"/>
          <w:color w:val="231F20"/>
          <w:sz w:val="24"/>
          <w:szCs w:val="24"/>
        </w:rPr>
        <w:fldChar w:fldCharType="separate"/>
      </w:r>
      <w:r w:rsidR="001B47F3" w:rsidRPr="00505F89">
        <w:rPr>
          <w:rFonts w:ascii="Times New Roman" w:eastAsia="MyriadPro-Regular" w:hAnsi="Times New Roman" w:cs="Times New Roman"/>
          <w:noProof/>
          <w:color w:val="231F20"/>
          <w:sz w:val="24"/>
          <w:szCs w:val="24"/>
          <w:vertAlign w:val="superscript"/>
        </w:rPr>
        <w:t>6</w:t>
      </w:r>
      <w:r w:rsidR="001B47F3" w:rsidRPr="00505F89">
        <w:rPr>
          <w:rFonts w:ascii="Times New Roman" w:eastAsia="MyriadPro-Regular" w:hAnsi="Times New Roman" w:cs="Times New Roman"/>
          <w:color w:val="231F20"/>
          <w:sz w:val="24"/>
          <w:szCs w:val="24"/>
        </w:rPr>
        <w:fldChar w:fldCharType="end"/>
      </w:r>
      <w:r w:rsidR="001B47F3" w:rsidRPr="00505F89">
        <w:rPr>
          <w:rFonts w:ascii="Times New Roman" w:eastAsia="MyriadPro-Regular" w:hAnsi="Times New Roman" w:cs="Times New Roman"/>
          <w:color w:val="231F20"/>
          <w:sz w:val="24"/>
          <w:szCs w:val="24"/>
        </w:rPr>
        <w:t xml:space="preserve"> </w:t>
      </w:r>
    </w:p>
    <w:p w14:paraId="3F9613E1" w14:textId="2C603E6F" w:rsidR="00E55755" w:rsidRPr="00505F89" w:rsidRDefault="00E55755" w:rsidP="00F85417">
      <w:pPr>
        <w:spacing w:line="276" w:lineRule="auto"/>
        <w:ind w:firstLine="720"/>
        <w:jc w:val="both"/>
        <w:rPr>
          <w:rFonts w:ascii="Times New Roman" w:eastAsia="MyriadPro-Regular" w:hAnsi="Times New Roman" w:cs="Times New Roman"/>
          <w:color w:val="231F20"/>
          <w:sz w:val="24"/>
          <w:szCs w:val="24"/>
        </w:rPr>
      </w:pPr>
      <w:r w:rsidRPr="00505F89">
        <w:rPr>
          <w:rFonts w:ascii="Times New Roman" w:eastAsia="MyriadPro-Regular" w:hAnsi="Times New Roman" w:cs="Times New Roman"/>
          <w:color w:val="231F20"/>
          <w:sz w:val="24"/>
          <w:szCs w:val="24"/>
        </w:rPr>
        <w:t>Mei et al. reported the extraction of self-assembled uranyl-polyphenolic clusters synthesized by treating aqueous uranyl ions with C-alkylpyrogallol[4]arenes, which are polyhydroxylated macrocycles</w:t>
      </w:r>
      <w:r w:rsidR="0060594E" w:rsidRPr="00505F89">
        <w:rPr>
          <w:rFonts w:ascii="Times New Roman" w:eastAsia="MyriadPro-Regular" w:hAnsi="Times New Roman" w:cs="Times New Roman"/>
          <w:color w:val="231F20"/>
          <w:sz w:val="24"/>
          <w:szCs w:val="24"/>
        </w:rPr>
        <w:t>.</w:t>
      </w:r>
      <w:r w:rsidRPr="00505F89">
        <w:rPr>
          <w:rFonts w:ascii="Times New Roman" w:eastAsia="MyriadPro-Regular" w:hAnsi="Times New Roman" w:cs="Times New Roman"/>
          <w:color w:val="231F20"/>
          <w:sz w:val="24"/>
          <w:szCs w:val="24"/>
        </w:rPr>
        <w:t xml:space="preserve"> The macrocycles are abbreviated PgC</w:t>
      </w:r>
      <w:r w:rsidRPr="00505F89">
        <w:rPr>
          <w:rFonts w:ascii="Times New Roman" w:eastAsia="MyriadPro-Regular" w:hAnsi="Times New Roman" w:cs="Times New Roman"/>
          <w:i/>
          <w:iCs/>
          <w:color w:val="231F20"/>
          <w:sz w:val="24"/>
          <w:szCs w:val="24"/>
        </w:rPr>
        <w:t>n</w:t>
      </w:r>
      <w:r w:rsidRPr="00505F89">
        <w:rPr>
          <w:rFonts w:ascii="Times New Roman" w:eastAsia="MyriadPro-Regular" w:hAnsi="Times New Roman" w:cs="Times New Roman"/>
          <w:color w:val="231F20"/>
          <w:sz w:val="24"/>
          <w:szCs w:val="24"/>
        </w:rPr>
        <w:t xml:space="preserve">, where </w:t>
      </w:r>
      <w:r w:rsidRPr="00505F89">
        <w:rPr>
          <w:rFonts w:ascii="Times New Roman" w:eastAsia="MyriadPro-Regular" w:hAnsi="Times New Roman" w:cs="Times New Roman"/>
          <w:i/>
          <w:iCs/>
          <w:color w:val="231F20"/>
          <w:sz w:val="24"/>
          <w:szCs w:val="24"/>
        </w:rPr>
        <w:t>n</w:t>
      </w:r>
      <w:r w:rsidRPr="00505F89">
        <w:rPr>
          <w:rFonts w:ascii="Times New Roman" w:eastAsia="MyriadPro-Regular" w:hAnsi="Times New Roman" w:cs="Times New Roman"/>
          <w:color w:val="231F20"/>
          <w:sz w:val="24"/>
          <w:szCs w:val="24"/>
        </w:rPr>
        <w:t xml:space="preserve"> is the length of the alkyl side chains on the bridging methylene units (Figure </w:t>
      </w:r>
      <w:r w:rsidR="003B1C7B" w:rsidRPr="00505F89">
        <w:rPr>
          <w:rFonts w:ascii="Times New Roman" w:eastAsia="MyriadPro-Regular" w:hAnsi="Times New Roman" w:cs="Times New Roman"/>
          <w:color w:val="231F20"/>
          <w:sz w:val="24"/>
          <w:szCs w:val="24"/>
        </w:rPr>
        <w:t>2</w:t>
      </w:r>
      <w:r w:rsidR="00505F89">
        <w:rPr>
          <w:rFonts w:ascii="Times New Roman" w:eastAsia="MyriadPro-Regular" w:hAnsi="Times New Roman" w:cs="Times New Roman"/>
          <w:color w:val="231F20"/>
          <w:sz w:val="24"/>
          <w:szCs w:val="24"/>
        </w:rPr>
        <w:t>B</w:t>
      </w:r>
      <w:r w:rsidRPr="00505F89">
        <w:rPr>
          <w:rFonts w:ascii="Times New Roman" w:eastAsia="MyriadPro-Regular" w:hAnsi="Times New Roman" w:cs="Times New Roman"/>
          <w:color w:val="231F20"/>
          <w:sz w:val="24"/>
          <w:szCs w:val="24"/>
        </w:rPr>
        <w:t>). The structure of U-PgC3</w:t>
      </w:r>
      <w:r w:rsidR="009D6AA1" w:rsidRPr="00505F89">
        <w:rPr>
          <w:rFonts w:ascii="Times New Roman" w:eastAsia="MyriadPro-Regular" w:hAnsi="Times New Roman" w:cs="Times New Roman"/>
          <w:color w:val="231F20"/>
          <w:sz w:val="24"/>
          <w:szCs w:val="24"/>
        </w:rPr>
        <w:t xml:space="preserve"> (Figure </w:t>
      </w:r>
      <w:r w:rsidR="003765B6" w:rsidRPr="00505F89">
        <w:rPr>
          <w:rFonts w:ascii="Times New Roman" w:eastAsia="MyriadPro-Regular" w:hAnsi="Times New Roman" w:cs="Times New Roman"/>
          <w:color w:val="231F20"/>
          <w:sz w:val="24"/>
          <w:szCs w:val="24"/>
        </w:rPr>
        <w:t>2</w:t>
      </w:r>
      <w:r w:rsidR="00E20AB1" w:rsidRPr="00505F89">
        <w:rPr>
          <w:rFonts w:ascii="Times New Roman" w:eastAsia="MyriadPro-Regular" w:hAnsi="Times New Roman" w:cs="Times New Roman"/>
          <w:color w:val="231F20"/>
          <w:sz w:val="24"/>
          <w:szCs w:val="24"/>
        </w:rPr>
        <w:t>A</w:t>
      </w:r>
      <w:r w:rsidR="009D6AA1" w:rsidRPr="00505F89">
        <w:rPr>
          <w:rFonts w:ascii="Times New Roman" w:eastAsia="MyriadPro-Regular" w:hAnsi="Times New Roman" w:cs="Times New Roman"/>
          <w:color w:val="231F20"/>
          <w:sz w:val="24"/>
          <w:szCs w:val="24"/>
        </w:rPr>
        <w:t>)</w:t>
      </w:r>
      <w:r w:rsidRPr="00505F89">
        <w:rPr>
          <w:rFonts w:ascii="Times New Roman" w:eastAsia="MyriadPro-Regular" w:hAnsi="Times New Roman" w:cs="Times New Roman"/>
          <w:color w:val="231F20"/>
          <w:sz w:val="24"/>
          <w:szCs w:val="24"/>
        </w:rPr>
        <w:t xml:space="preserve"> </w:t>
      </w:r>
      <w:r w:rsidR="00505F89" w:rsidRPr="00505F89">
        <w:rPr>
          <w:rFonts w:ascii="Times New Roman" w:eastAsia="MyriadPro-Regular" w:hAnsi="Times New Roman" w:cs="Times New Roman"/>
          <w:color w:val="231F20"/>
          <w:sz w:val="24"/>
          <w:szCs w:val="24"/>
        </w:rPr>
        <w:t xml:space="preserve">crystal structure indicates that the primary building unit is </w:t>
      </w:r>
      <w:r w:rsidR="00505F89" w:rsidRPr="00505F89">
        <w:rPr>
          <w:rFonts w:ascii="Times New Roman" w:hAnsi="Times New Roman" w:cs="Times New Roman"/>
          <w:sz w:val="24"/>
          <w:szCs w:val="24"/>
        </w:rPr>
        <w:t>[(UO</w:t>
      </w:r>
      <w:r w:rsidR="00505F89" w:rsidRPr="00505F89">
        <w:rPr>
          <w:rFonts w:ascii="Times New Roman" w:hAnsi="Times New Roman" w:cs="Times New Roman"/>
          <w:sz w:val="24"/>
          <w:szCs w:val="24"/>
          <w:vertAlign w:val="subscript"/>
        </w:rPr>
        <w:t>2</w:t>
      </w:r>
      <w:r w:rsidR="00505F89" w:rsidRPr="00505F89">
        <w:rPr>
          <w:rFonts w:ascii="Times New Roman" w:hAnsi="Times New Roman" w:cs="Times New Roman"/>
          <w:sz w:val="24"/>
          <w:szCs w:val="24"/>
        </w:rPr>
        <w:t>)</w:t>
      </w:r>
      <w:r w:rsidR="00505F89" w:rsidRPr="00505F89">
        <w:rPr>
          <w:rFonts w:ascii="Times New Roman" w:hAnsi="Times New Roman" w:cs="Times New Roman"/>
          <w:sz w:val="24"/>
          <w:szCs w:val="24"/>
          <w:vertAlign w:val="subscript"/>
        </w:rPr>
        <w:t>24</w:t>
      </w:r>
      <w:r w:rsidR="00505F89" w:rsidRPr="00505F89">
        <w:rPr>
          <w:rFonts w:ascii="Times New Roman" w:hAnsi="Times New Roman" w:cs="Times New Roman"/>
          <w:sz w:val="24"/>
          <w:szCs w:val="24"/>
        </w:rPr>
        <w:t>(H</w:t>
      </w:r>
      <w:r w:rsidR="00505F89" w:rsidRPr="00505F89">
        <w:rPr>
          <w:rFonts w:ascii="Times New Roman" w:hAnsi="Times New Roman" w:cs="Times New Roman"/>
          <w:sz w:val="24"/>
          <w:szCs w:val="24"/>
          <w:vertAlign w:val="subscript"/>
        </w:rPr>
        <w:t>2</w:t>
      </w:r>
      <w:r w:rsidR="00505F89" w:rsidRPr="00505F89">
        <w:rPr>
          <w:rFonts w:ascii="Times New Roman" w:hAnsi="Times New Roman" w:cs="Times New Roman"/>
          <w:sz w:val="24"/>
          <w:szCs w:val="24"/>
        </w:rPr>
        <w:t>O)</w:t>
      </w:r>
      <w:r w:rsidR="00505F89" w:rsidRPr="00505F89">
        <w:rPr>
          <w:rFonts w:ascii="Times New Roman" w:hAnsi="Times New Roman" w:cs="Times New Roman"/>
          <w:sz w:val="24"/>
          <w:szCs w:val="24"/>
          <w:vertAlign w:val="subscript"/>
        </w:rPr>
        <w:t>24</w:t>
      </w:r>
      <w:r w:rsidR="00505F89" w:rsidRPr="00505F89">
        <w:rPr>
          <w:rFonts w:ascii="Times New Roman" w:hAnsi="Times New Roman" w:cs="Times New Roman"/>
          <w:sz w:val="24"/>
          <w:szCs w:val="24"/>
        </w:rPr>
        <w:t>(PgCn)</w:t>
      </w:r>
      <w:r w:rsidR="00505F89" w:rsidRPr="00505F89">
        <w:rPr>
          <w:rFonts w:ascii="Times New Roman" w:hAnsi="Times New Roman" w:cs="Times New Roman"/>
          <w:sz w:val="24"/>
          <w:szCs w:val="24"/>
          <w:vertAlign w:val="subscript"/>
        </w:rPr>
        <w:t>6</w:t>
      </w:r>
      <w:r w:rsidR="00505F89" w:rsidRPr="00505F89">
        <w:rPr>
          <w:rFonts w:ascii="Times New Roman" w:hAnsi="Times New Roman" w:cs="Times New Roman"/>
          <w:sz w:val="24"/>
          <w:szCs w:val="24"/>
        </w:rPr>
        <w:t>]</w:t>
      </w:r>
      <w:r w:rsidRPr="00505F89">
        <w:rPr>
          <w:rFonts w:ascii="Times New Roman" w:eastAsia="MyriadPro-Regular" w:hAnsi="Times New Roman" w:cs="Times New Roman"/>
          <w:color w:val="231F20"/>
          <w:sz w:val="24"/>
          <w:szCs w:val="24"/>
        </w:rPr>
        <w:t xml:space="preserve">. The extraction efficiency depends on the protonation state of the macrocycle:  U-PgC9 clusters were extracted from aqueous layer into 1,2-dichloroethane and dichloromethane with distribution ratios of </w:t>
      </w:r>
      <w:r w:rsidR="00282CA5" w:rsidRPr="00505F89">
        <w:rPr>
          <w:rFonts w:ascii="Times New Roman" w:eastAsia="MyriadPro-Regular" w:hAnsi="Times New Roman" w:cs="Times New Roman"/>
          <w:color w:val="231F20"/>
          <w:sz w:val="24"/>
          <w:szCs w:val="24"/>
        </w:rPr>
        <w:t>300</w:t>
      </w:r>
      <w:r w:rsidRPr="00505F89">
        <w:rPr>
          <w:rFonts w:ascii="Times New Roman" w:eastAsia="MyriadPro-Regular" w:hAnsi="Times New Roman" w:cs="Times New Roman"/>
          <w:color w:val="231F20"/>
          <w:sz w:val="24"/>
          <w:szCs w:val="24"/>
        </w:rPr>
        <w:t xml:space="preserve"> </w:t>
      </w:r>
      <w:r w:rsidR="00282CA5" w:rsidRPr="00505F89">
        <w:rPr>
          <w:rFonts w:ascii="Times New Roman" w:eastAsia="MyriadPro-Regular" w:hAnsi="Times New Roman" w:cs="Times New Roman"/>
          <w:color w:val="231F20"/>
          <w:sz w:val="24"/>
          <w:szCs w:val="24"/>
        </w:rPr>
        <w:t>at pH = 6.0</w:t>
      </w:r>
      <w:r w:rsidRPr="00505F89">
        <w:rPr>
          <w:rFonts w:ascii="Times New Roman" w:eastAsia="MyriadPro-Regular" w:hAnsi="Times New Roman" w:cs="Times New Roman"/>
          <w:color w:val="231F20"/>
          <w:sz w:val="24"/>
          <w:szCs w:val="24"/>
        </w:rPr>
        <w:t xml:space="preserve"> but ratios close to zero low concentration of NaOAc.</w:t>
      </w:r>
      <w:r w:rsidR="001B47F3" w:rsidRPr="00505F89">
        <w:rPr>
          <w:rFonts w:ascii="Times New Roman" w:eastAsia="MyriadPro-Regular" w:hAnsi="Times New Roman" w:cs="Times New Roman"/>
          <w:color w:val="231F20"/>
          <w:sz w:val="24"/>
          <w:szCs w:val="24"/>
        </w:rPr>
        <w:fldChar w:fldCharType="begin"/>
      </w:r>
      <w:r w:rsidR="001B47F3" w:rsidRPr="00505F89">
        <w:rPr>
          <w:rFonts w:ascii="Times New Roman" w:eastAsia="MyriadPro-Regular" w:hAnsi="Times New Roman" w:cs="Times New Roman"/>
          <w:color w:val="231F20"/>
          <w:sz w:val="24"/>
          <w:szCs w:val="24"/>
        </w:rPr>
        <w:instrText xml:space="preserve"> ADDIN EN.CITE &lt;EndNote&gt;&lt;Cite&gt;&lt;Author&gt;Mei&lt;/Author&gt;&lt;Year&gt;2020&lt;/Year&gt;&lt;RecNum&gt;31&lt;/RecNum&gt;&lt;DisplayText&gt;&lt;style face="superscript"&gt;7&lt;/style&gt;&lt;/DisplayText&gt;&lt;record&gt;&lt;rec-number&gt;31&lt;/rec-number&gt;&lt;foreign-keys&gt;&lt;key app="EN" db-id="25rxa2te7frr21efrtj5evr8vxrresw5vawx" timestamp="1665549609"&gt;31&lt;/key&gt;&lt;/foreign-keys&gt;&lt;ref-type name="Journal Article"&gt;17&lt;/ref-type&gt;&lt;contributors&gt;&lt;authors&gt;&lt;author&gt;Mei, Lei&lt;/author&gt;&lt;author&gt;Ren, Peng&lt;/author&gt;&lt;author&gt;Wu, Qun-yan&lt;/author&gt;&lt;author&gt;Ke, Yu-bin&lt;/author&gt;&lt;author&gt;Geng, Jun-shan&lt;/author&gt;&lt;author&gt;Liu, Kang&lt;/author&gt;&lt;author&gt;Xing, Xue-qing&lt;/author&gt;&lt;author&gt;Huang, Zhi-wei&lt;/author&gt;&lt;author&gt;Hu, Kong-qiu&lt;/author&gt;&lt;author&gt;Liu, Ya-lan&lt;/author&gt;&lt;author&gt;Yuan, Li-yong&lt;/author&gt;&lt;author&gt;Mo, Guang&lt;/author&gt;&lt;author&gt;Wu, Zhong-hua&lt;/author&gt;&lt;author&gt;Gibson, John K.&lt;/author&gt;&lt;author&gt;Chai, Zhi-fang&lt;/author&gt;&lt;author&gt;Shi, Wei-qun&lt;/author&gt;&lt;/authors&gt;&lt;/contributors&gt;&lt;titles&gt;&lt;title&gt;Actinide Separation Inspired by Self-Assembled Metal–Polyphenolic Nanocages&lt;/title&gt;&lt;secondary-title&gt;Journal of the American Chemical Society&lt;/secondary-title&gt;&lt;/titles&gt;&lt;periodical&gt;&lt;full-title&gt;Journal of the American Chemical Society&lt;/full-title&gt;&lt;/periodical&gt;&lt;pages&gt;16538-16545&lt;/pages&gt;&lt;volume&gt;142&lt;/volume&gt;&lt;number&gt;39&lt;/number&gt;&lt;dates&gt;&lt;year&gt;2020&lt;/year&gt;&lt;pub-dates&gt;&lt;date&gt;2020/09/30&lt;/date&gt;&lt;/pub-dates&gt;&lt;/dates&gt;&lt;publisher&gt;American Chemical Society&lt;/publisher&gt;&lt;isbn&gt;0002-7863&lt;/isbn&gt;&lt;urls&gt;&lt;related-urls&gt;&lt;url&gt;https://doi.org/10.1021/jacs.0c08048&lt;/url&gt;&lt;/related-urls&gt;&lt;/urls&gt;&lt;electronic-resource-num&gt;10.1021/jacs.0c08048&lt;/electronic-resource-num&gt;&lt;/record&gt;&lt;/Cite&gt;&lt;/EndNote&gt;</w:instrText>
      </w:r>
      <w:r w:rsidR="001B47F3" w:rsidRPr="00505F89">
        <w:rPr>
          <w:rFonts w:ascii="Times New Roman" w:eastAsia="MyriadPro-Regular" w:hAnsi="Times New Roman" w:cs="Times New Roman"/>
          <w:color w:val="231F20"/>
          <w:sz w:val="24"/>
          <w:szCs w:val="24"/>
        </w:rPr>
        <w:fldChar w:fldCharType="separate"/>
      </w:r>
      <w:r w:rsidR="001B47F3" w:rsidRPr="00505F89">
        <w:rPr>
          <w:rFonts w:ascii="Times New Roman" w:eastAsia="MyriadPro-Regular" w:hAnsi="Times New Roman" w:cs="Times New Roman"/>
          <w:noProof/>
          <w:color w:val="231F20"/>
          <w:sz w:val="24"/>
          <w:szCs w:val="24"/>
          <w:vertAlign w:val="superscript"/>
        </w:rPr>
        <w:t>7</w:t>
      </w:r>
      <w:r w:rsidR="001B47F3" w:rsidRPr="00505F89">
        <w:rPr>
          <w:rFonts w:ascii="Times New Roman" w:eastAsia="MyriadPro-Regular" w:hAnsi="Times New Roman" w:cs="Times New Roman"/>
          <w:color w:val="231F20"/>
          <w:sz w:val="24"/>
          <w:szCs w:val="24"/>
        </w:rPr>
        <w:fldChar w:fldCharType="end"/>
      </w:r>
    </w:p>
    <w:p w14:paraId="7A5FDE80" w14:textId="77777777" w:rsidR="00C03E98" w:rsidRPr="00505F89" w:rsidRDefault="00C03E98" w:rsidP="00F85417">
      <w:pPr>
        <w:spacing w:line="276" w:lineRule="auto"/>
        <w:ind w:firstLine="720"/>
        <w:jc w:val="both"/>
        <w:rPr>
          <w:rFonts w:ascii="Times New Roman" w:eastAsia="MyriadPro-Regular" w:hAnsi="Times New Roman" w:cs="Times New Roman"/>
          <w:color w:val="231F20"/>
          <w:sz w:val="24"/>
          <w:szCs w:val="24"/>
        </w:rPr>
      </w:pPr>
    </w:p>
    <w:p w14:paraId="7B85634B" w14:textId="11BBD922" w:rsidR="00E55755" w:rsidRPr="00505F89" w:rsidRDefault="00505F89" w:rsidP="00F85417">
      <w:pPr>
        <w:spacing w:line="276" w:lineRule="auto"/>
        <w:ind w:firstLine="720"/>
        <w:rPr>
          <w:rFonts w:ascii="Times New Roman" w:eastAsia="MyriadPro-Regular" w:hAnsi="Times New Roman" w:cs="Times New Roman"/>
          <w:color w:val="231F20"/>
          <w:sz w:val="24"/>
          <w:szCs w:val="24"/>
        </w:rPr>
      </w:pPr>
      <w:r w:rsidRPr="00505F89">
        <w:rPr>
          <w:rFonts w:ascii="Times New Roman" w:eastAsia="MyriadPro-Regular" w:hAnsi="Times New Roman" w:cs="Times New Roman"/>
          <w:noProof/>
          <w:color w:val="231F20"/>
          <w:sz w:val="24"/>
          <w:szCs w:val="24"/>
        </w:rPr>
        <w:lastRenderedPageBreak/>
        <mc:AlternateContent>
          <mc:Choice Requires="wps">
            <w:drawing>
              <wp:anchor distT="0" distB="0" distL="114300" distR="114300" simplePos="0" relativeHeight="251660288" behindDoc="0" locked="0" layoutInCell="1" allowOverlap="1" wp14:anchorId="45518183" wp14:editId="3A82FC3A">
                <wp:simplePos x="0" y="0"/>
                <wp:positionH relativeFrom="column">
                  <wp:posOffset>803910</wp:posOffset>
                </wp:positionH>
                <wp:positionV relativeFrom="paragraph">
                  <wp:posOffset>693420</wp:posOffset>
                </wp:positionV>
                <wp:extent cx="300990" cy="274320"/>
                <wp:effectExtent l="0" t="0" r="0" b="0"/>
                <wp:wrapNone/>
                <wp:docPr id="15" name="TextBox 14">
                  <a:extLst xmlns:a="http://schemas.openxmlformats.org/drawingml/2006/main">
                    <a:ext uri="{FF2B5EF4-FFF2-40B4-BE49-F238E27FC236}">
                      <a16:creationId xmlns:a16="http://schemas.microsoft.com/office/drawing/2014/main" id="{53F71635-C9E5-4E04-3156-771F028C4B34}"/>
                    </a:ext>
                  </a:extLst>
                </wp:docPr>
                <wp:cNvGraphicFramePr/>
                <a:graphic xmlns:a="http://schemas.openxmlformats.org/drawingml/2006/main">
                  <a:graphicData uri="http://schemas.microsoft.com/office/word/2010/wordprocessingShape">
                    <wps:wsp>
                      <wps:cNvSpPr txBox="1"/>
                      <wps:spPr>
                        <a:xfrm>
                          <a:off x="0" y="0"/>
                          <a:ext cx="300990" cy="274320"/>
                        </a:xfrm>
                        <a:prstGeom prst="rect">
                          <a:avLst/>
                        </a:prstGeom>
                        <a:noFill/>
                      </wps:spPr>
                      <wps:txbx>
                        <w:txbxContent>
                          <w:p w14:paraId="1F0B4164" w14:textId="77777777" w:rsidR="00E55755" w:rsidRPr="00954BE2" w:rsidRDefault="00E55755" w:rsidP="00E55755">
                            <w:pPr>
                              <w:rPr>
                                <w:rFonts w:hAnsi="Calibri"/>
                                <w:color w:val="000000" w:themeColor="text1"/>
                                <w:kern w:val="24"/>
                                <w:sz w:val="24"/>
                                <w:szCs w:val="24"/>
                              </w:rPr>
                            </w:pPr>
                            <w:r w:rsidRPr="00954BE2">
                              <w:rPr>
                                <w:rFonts w:hAnsi="Calibri"/>
                                <w:color w:val="000000" w:themeColor="text1"/>
                                <w:kern w:val="24"/>
                                <w:sz w:val="24"/>
                                <w:szCs w:val="24"/>
                              </w:rPr>
                              <w:t>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45518183" id="_x0000_t202" coordsize="21600,21600" o:spt="202" path="m,l,21600r21600,l21600,xe">
                <v:stroke joinstyle="miter"/>
                <v:path gradientshapeok="t" o:connecttype="rect"/>
              </v:shapetype>
              <v:shape id="TextBox 14" o:spid="_x0000_s1026" type="#_x0000_t202" style="position:absolute;left:0;text-align:left;margin-left:63.3pt;margin-top:54.6pt;width:23.7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" filled="f" stroked="f">
                <v:textbox>
                  <w:txbxContent>
                    <w:p w14:paraId="1F0B4164" w14:textId="77777777" w:rsidR="00E55755" w:rsidRPr="00954BE2" w:rsidRDefault="00E55755" w:rsidP="00E55755">
                      <w:pPr>
                        <w:rPr>
                          <w:rFonts w:hAnsi="Calibri"/>
                          <w:color w:val="000000" w:themeColor="text1"/>
                          <w:kern w:val="24"/>
                          <w:sz w:val="24"/>
                          <w:szCs w:val="24"/>
                        </w:rPr>
                      </w:pPr>
                      <w:r w:rsidRPr="00954BE2">
                        <w:rPr>
                          <w:rFonts w:hAnsi="Calibri"/>
                          <w:color w:val="000000" w:themeColor="text1"/>
                          <w:kern w:val="24"/>
                          <w:sz w:val="24"/>
                          <w:szCs w:val="24"/>
                        </w:rPr>
                        <w:t>A</w:t>
                      </w:r>
                    </w:p>
                  </w:txbxContent>
                </v:textbox>
              </v:shape>
            </w:pict>
          </mc:Fallback>
        </mc:AlternateContent>
      </w:r>
      <w:r w:rsidRPr="00505F89">
        <w:rPr>
          <w:rFonts w:ascii="Times New Roman" w:eastAsia="MyriadPro-Regular" w:hAnsi="Times New Roman" w:cs="Times New Roman"/>
          <w:noProof/>
          <w:color w:val="231F20"/>
          <w:sz w:val="24"/>
          <w:szCs w:val="24"/>
        </w:rPr>
        <mc:AlternateContent>
          <mc:Choice Requires="wps">
            <w:drawing>
              <wp:anchor distT="0" distB="0" distL="114300" distR="114300" simplePos="0" relativeHeight="251661312" behindDoc="0" locked="0" layoutInCell="1" allowOverlap="1" wp14:anchorId="2219521B" wp14:editId="3270BF83">
                <wp:simplePos x="0" y="0"/>
                <wp:positionH relativeFrom="column">
                  <wp:posOffset>3371850</wp:posOffset>
                </wp:positionH>
                <wp:positionV relativeFrom="paragraph">
                  <wp:posOffset>662940</wp:posOffset>
                </wp:positionV>
                <wp:extent cx="220980" cy="419100"/>
                <wp:effectExtent l="0" t="0" r="0" b="0"/>
                <wp:wrapNone/>
                <wp:docPr id="16" name="TextBox 15">
                  <a:extLst xmlns:a="http://schemas.openxmlformats.org/drawingml/2006/main">
                    <a:ext uri="{FF2B5EF4-FFF2-40B4-BE49-F238E27FC236}">
                      <a16:creationId xmlns:a16="http://schemas.microsoft.com/office/drawing/2014/main" id="{85A2FA7F-5039-EF30-2F07-022B2D698461}"/>
                    </a:ext>
                  </a:extLst>
                </wp:docPr>
                <wp:cNvGraphicFramePr/>
                <a:graphic xmlns:a="http://schemas.openxmlformats.org/drawingml/2006/main">
                  <a:graphicData uri="http://schemas.microsoft.com/office/word/2010/wordprocessingShape">
                    <wps:wsp>
                      <wps:cNvSpPr txBox="1"/>
                      <wps:spPr>
                        <a:xfrm flipH="1">
                          <a:off x="0" y="0"/>
                          <a:ext cx="220980" cy="419100"/>
                        </a:xfrm>
                        <a:prstGeom prst="rect">
                          <a:avLst/>
                        </a:prstGeom>
                        <a:noFill/>
                      </wps:spPr>
                      <wps:txbx>
                        <w:txbxContent>
                          <w:p w14:paraId="3EC503F9" w14:textId="77777777" w:rsidR="00E55755" w:rsidRPr="00954BE2" w:rsidRDefault="00E55755" w:rsidP="00E55755">
                            <w:pPr>
                              <w:rPr>
                                <w:rFonts w:hAnsi="Calibri"/>
                                <w:color w:val="000000" w:themeColor="text1"/>
                                <w:kern w:val="24"/>
                                <w:sz w:val="24"/>
                                <w:szCs w:val="24"/>
                              </w:rPr>
                            </w:pPr>
                            <w:r w:rsidRPr="00954BE2">
                              <w:rPr>
                                <w:rFonts w:hAnsi="Calibri"/>
                                <w:color w:val="000000" w:themeColor="text1"/>
                                <w:kern w:val="24"/>
                                <w:sz w:val="24"/>
                                <w:szCs w:val="24"/>
                              </w:rPr>
                              <w:t>B</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219521B" id="TextBox 15" o:spid="_x0000_s1027" type="#_x0000_t202" style="position:absolute;left:0;text-align:left;margin-left:265.5pt;margin-top:52.2pt;width:17.4pt;height:33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" filled="f" stroked="f">
                <v:textbox>
                  <w:txbxContent>
                    <w:p w14:paraId="3EC503F9" w14:textId="77777777" w:rsidR="00E55755" w:rsidRPr="00954BE2" w:rsidRDefault="00E55755" w:rsidP="00E55755">
                      <w:pPr>
                        <w:rPr>
                          <w:rFonts w:hAnsi="Calibri"/>
                          <w:color w:val="000000" w:themeColor="text1"/>
                          <w:kern w:val="24"/>
                          <w:sz w:val="24"/>
                          <w:szCs w:val="24"/>
                        </w:rPr>
                      </w:pPr>
                      <w:r w:rsidRPr="00954BE2">
                        <w:rPr>
                          <w:rFonts w:hAnsi="Calibri"/>
                          <w:color w:val="000000" w:themeColor="text1"/>
                          <w:kern w:val="24"/>
                          <w:sz w:val="24"/>
                          <w:szCs w:val="24"/>
                        </w:rPr>
                        <w:t>B</w:t>
                      </w:r>
                    </w:p>
                  </w:txbxContent>
                </v:textbox>
              </v:shape>
            </w:pict>
          </mc:Fallback>
        </mc:AlternateContent>
      </w:r>
      <w:r w:rsidRPr="00505F89">
        <w:rPr>
          <w:rFonts w:ascii="Times New Roman" w:eastAsia="MyriadPro-Regular" w:hAnsi="Times New Roman" w:cs="Times New Roman"/>
          <w:noProof/>
          <w:color w:val="231F20"/>
          <w:sz w:val="24"/>
          <w:szCs w:val="24"/>
        </w:rPr>
        <w:drawing>
          <wp:anchor distT="0" distB="0" distL="114300" distR="114300" simplePos="0" relativeHeight="251659264" behindDoc="0" locked="0" layoutInCell="1" allowOverlap="1" wp14:anchorId="165C345F" wp14:editId="63158E27">
            <wp:simplePos x="0" y="0"/>
            <wp:positionH relativeFrom="column">
              <wp:posOffset>3722370</wp:posOffset>
            </wp:positionH>
            <wp:positionV relativeFrom="paragraph">
              <wp:posOffset>308610</wp:posOffset>
            </wp:positionV>
            <wp:extent cx="1067435" cy="1329690"/>
            <wp:effectExtent l="0" t="0" r="0" b="3810"/>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067435" cy="132969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MyriadPro-Regular" w:hAnsi="Times New Roman" w:cs="Times New Roman"/>
          <w:noProof/>
          <w:color w:val="231F20"/>
          <w:sz w:val="24"/>
          <w:szCs w:val="24"/>
        </w:rPr>
        <w:t xml:space="preserve">             </w:t>
      </w:r>
      <w:r>
        <w:rPr>
          <w:rFonts w:ascii="Times New Roman" w:eastAsia="MyriadPro-Regular" w:hAnsi="Times New Roman" w:cs="Times New Roman"/>
          <w:color w:val="231F20"/>
          <w:sz w:val="24"/>
          <w:szCs w:val="24"/>
        </w:rPr>
        <w:t xml:space="preserve">     </w:t>
      </w:r>
      <w:r w:rsidR="00E55755" w:rsidRPr="00505F89">
        <w:rPr>
          <w:rFonts w:ascii="Times New Roman" w:hAnsi="Times New Roman" w:cs="Times New Roman"/>
          <w:noProof/>
          <w:sz w:val="24"/>
          <w:szCs w:val="24"/>
        </w:rPr>
        <w:drawing>
          <wp:inline distT="0" distB="0" distL="0" distR="0" wp14:anchorId="5EEE11B6" wp14:editId="2B0B2F3F">
            <wp:extent cx="1980625" cy="1874520"/>
            <wp:effectExtent l="0" t="0" r="635" b="0"/>
            <wp:docPr id="5" name="Picture 4">
              <a:extLst xmlns:a="http://schemas.openxmlformats.org/drawingml/2006/main">
                <a:ext uri="{FF2B5EF4-FFF2-40B4-BE49-F238E27FC236}">
                  <a16:creationId xmlns:a16="http://schemas.microsoft.com/office/drawing/2014/main" id="{BDD242BD-F8A1-175B-07AE-EA9F01886D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DD242BD-F8A1-175B-07AE-EA9F01886D51}"/>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4531" cy="1878217"/>
                    </a:xfrm>
                    <a:prstGeom prst="rect">
                      <a:avLst/>
                    </a:prstGeom>
                  </pic:spPr>
                </pic:pic>
              </a:graphicData>
            </a:graphic>
          </wp:inline>
        </w:drawing>
      </w:r>
    </w:p>
    <w:p w14:paraId="28C2B725" w14:textId="08477EBA" w:rsidR="00865AEA" w:rsidRPr="00505F89" w:rsidRDefault="00865AEA" w:rsidP="00F85417">
      <w:pPr>
        <w:spacing w:line="276" w:lineRule="auto"/>
        <w:ind w:firstLine="720"/>
        <w:jc w:val="center"/>
        <w:rPr>
          <w:rFonts w:ascii="Times New Roman" w:eastAsia="MyriadPro-Regular" w:hAnsi="Times New Roman" w:cs="Times New Roman"/>
          <w:color w:val="231F20"/>
          <w:sz w:val="24"/>
          <w:szCs w:val="24"/>
        </w:rPr>
      </w:pPr>
      <w:r w:rsidRPr="00505F89">
        <w:rPr>
          <w:rFonts w:ascii="Times New Roman" w:eastAsia="MyriadPro-Regular" w:hAnsi="Times New Roman" w:cs="Times New Roman"/>
          <w:b/>
          <w:bCs/>
          <w:color w:val="231F20"/>
          <w:sz w:val="24"/>
          <w:szCs w:val="24"/>
        </w:rPr>
        <w:t>Figure 2</w:t>
      </w:r>
      <w:r w:rsidR="00F85417">
        <w:rPr>
          <w:rFonts w:ascii="Times New Roman" w:eastAsia="MyriadPro-Regular" w:hAnsi="Times New Roman" w:cs="Times New Roman"/>
          <w:b/>
          <w:bCs/>
          <w:color w:val="231F20"/>
          <w:sz w:val="24"/>
          <w:szCs w:val="24"/>
        </w:rPr>
        <w:t>(</w:t>
      </w:r>
      <w:r w:rsidR="006C7EF9" w:rsidRPr="00505F89">
        <w:rPr>
          <w:rFonts w:ascii="Times New Roman" w:eastAsia="MyriadPro-Regular" w:hAnsi="Times New Roman" w:cs="Times New Roman"/>
          <w:b/>
          <w:bCs/>
          <w:color w:val="231F20"/>
          <w:sz w:val="24"/>
          <w:szCs w:val="24"/>
        </w:rPr>
        <w:t>A</w:t>
      </w:r>
      <w:r w:rsidR="00F85417">
        <w:rPr>
          <w:rFonts w:ascii="Times New Roman" w:eastAsia="MyriadPro-Regular" w:hAnsi="Times New Roman" w:cs="Times New Roman"/>
          <w:b/>
          <w:bCs/>
          <w:color w:val="231F20"/>
          <w:sz w:val="24"/>
          <w:szCs w:val="24"/>
        </w:rPr>
        <w:t>)</w:t>
      </w:r>
      <w:r w:rsidRPr="00505F89">
        <w:rPr>
          <w:rFonts w:ascii="Times New Roman" w:eastAsia="MyriadPro-Regular" w:hAnsi="Times New Roman" w:cs="Times New Roman"/>
          <w:color w:val="231F20"/>
          <w:sz w:val="24"/>
          <w:szCs w:val="24"/>
        </w:rPr>
        <w:t>.</w:t>
      </w:r>
      <w:r w:rsidR="006C7EF9" w:rsidRPr="00505F89">
        <w:rPr>
          <w:rFonts w:ascii="Times New Roman" w:eastAsia="MyriadPro-Regular" w:hAnsi="Times New Roman" w:cs="Times New Roman"/>
          <w:color w:val="231F20"/>
          <w:sz w:val="24"/>
          <w:szCs w:val="24"/>
        </w:rPr>
        <w:t xml:space="preserve"> Structure of U_PgC9 (</w:t>
      </w:r>
      <w:r w:rsidR="006C7EF9" w:rsidRPr="00505F89">
        <w:rPr>
          <w:rFonts w:ascii="Times New Roman" w:eastAsia="MyriadPro-Regular" w:hAnsi="Times New Roman" w:cs="Times New Roman"/>
          <w:b/>
          <w:bCs/>
          <w:color w:val="231F20"/>
          <w:sz w:val="24"/>
          <w:szCs w:val="24"/>
        </w:rPr>
        <w:t>B)</w:t>
      </w:r>
      <w:r w:rsidR="00C03E98" w:rsidRPr="00505F89">
        <w:rPr>
          <w:rFonts w:ascii="Times New Roman" w:eastAsia="MyriadPro-Regular" w:hAnsi="Times New Roman" w:cs="Times New Roman"/>
          <w:b/>
          <w:bCs/>
          <w:color w:val="231F20"/>
          <w:sz w:val="24"/>
          <w:szCs w:val="24"/>
        </w:rPr>
        <w:t xml:space="preserve"> </w:t>
      </w:r>
      <w:r w:rsidR="00C03E98" w:rsidRPr="00505F89">
        <w:rPr>
          <w:rFonts w:ascii="Times New Roman" w:eastAsia="MyriadPro-Regular" w:hAnsi="Times New Roman" w:cs="Times New Roman"/>
          <w:color w:val="231F20"/>
          <w:sz w:val="24"/>
          <w:szCs w:val="24"/>
        </w:rPr>
        <w:t>Structure of PgC9</w:t>
      </w:r>
      <w:r w:rsidR="002F26C8" w:rsidRPr="00505F89">
        <w:rPr>
          <w:rFonts w:ascii="Times New Roman" w:eastAsia="MyriadPro-Regular" w:hAnsi="Times New Roman" w:cs="Times New Roman"/>
          <w:color w:val="231F20"/>
          <w:sz w:val="24"/>
          <w:szCs w:val="24"/>
        </w:rPr>
        <w:t xml:space="preserve"> </w:t>
      </w:r>
      <w:r w:rsidRPr="00505F89">
        <w:rPr>
          <w:rFonts w:ascii="Times New Roman" w:eastAsia="MyriadPro-Regular" w:hAnsi="Times New Roman" w:cs="Times New Roman"/>
          <w:color w:val="231F20"/>
          <w:sz w:val="24"/>
          <w:szCs w:val="24"/>
        </w:rPr>
        <w:t xml:space="preserve"> </w:t>
      </w:r>
    </w:p>
    <w:p w14:paraId="2F54FCA6" w14:textId="071FD8C9" w:rsidR="00E55755" w:rsidRPr="00505F89" w:rsidRDefault="000022B7" w:rsidP="00F85417">
      <w:pPr>
        <w:spacing w:line="276" w:lineRule="auto"/>
        <w:ind w:firstLine="720"/>
        <w:jc w:val="both"/>
        <w:rPr>
          <w:rFonts w:ascii="Times New Roman" w:eastAsia="MyriadPro-Regular" w:hAnsi="Times New Roman" w:cs="Times New Roman"/>
          <w:color w:val="231F20"/>
          <w:sz w:val="24"/>
          <w:szCs w:val="24"/>
        </w:rPr>
      </w:pPr>
      <w:r w:rsidRPr="00505F89">
        <w:rPr>
          <w:rFonts w:ascii="Times New Roman" w:eastAsia="MyriadPro-Regular" w:hAnsi="Times New Roman" w:cs="Times New Roman"/>
          <w:color w:val="231F20"/>
          <w:sz w:val="24"/>
          <w:szCs w:val="24"/>
        </w:rPr>
        <w:t xml:space="preserve">In conclusion, </w:t>
      </w:r>
      <w:r w:rsidR="00BA2D5E" w:rsidRPr="00505F89">
        <w:rPr>
          <w:rFonts w:ascii="Times New Roman" w:eastAsia="MyriadPro-Regular" w:hAnsi="Times New Roman" w:cs="Times New Roman"/>
          <w:color w:val="231F20"/>
          <w:sz w:val="24"/>
          <w:szCs w:val="24"/>
        </w:rPr>
        <w:t xml:space="preserve">uranyl cluster assemblies </w:t>
      </w:r>
      <w:r w:rsidR="00D40D2E" w:rsidRPr="00505F89">
        <w:rPr>
          <w:rFonts w:ascii="Times New Roman" w:eastAsia="MyriadPro-Regular" w:hAnsi="Times New Roman" w:cs="Times New Roman"/>
          <w:color w:val="231F20"/>
          <w:sz w:val="24"/>
          <w:szCs w:val="24"/>
        </w:rPr>
        <w:t xml:space="preserve">can be used for processing of uranium </w:t>
      </w:r>
      <w:r w:rsidR="0016721B" w:rsidRPr="00505F89">
        <w:rPr>
          <w:rFonts w:ascii="Times New Roman" w:eastAsia="MyriadPro-Regular" w:hAnsi="Times New Roman" w:cs="Times New Roman"/>
          <w:color w:val="231F20"/>
          <w:sz w:val="24"/>
          <w:szCs w:val="24"/>
        </w:rPr>
        <w:t xml:space="preserve">during production and post-fuel treatment. These cluster assemblies can be easily prepared </w:t>
      </w:r>
      <w:r w:rsidR="00471F0B" w:rsidRPr="00505F89">
        <w:rPr>
          <w:rFonts w:ascii="Times New Roman" w:eastAsia="MyriadPro-Regular" w:hAnsi="Times New Roman" w:cs="Times New Roman"/>
          <w:color w:val="231F20"/>
          <w:sz w:val="24"/>
          <w:szCs w:val="24"/>
        </w:rPr>
        <w:t xml:space="preserve">from aqueous solution and can be separated with </w:t>
      </w:r>
      <w:r w:rsidR="00507B9C" w:rsidRPr="00505F89">
        <w:rPr>
          <w:rFonts w:ascii="Times New Roman" w:eastAsia="MyriadPro-Regular" w:hAnsi="Times New Roman" w:cs="Times New Roman"/>
          <w:color w:val="231F20"/>
          <w:sz w:val="24"/>
          <w:szCs w:val="24"/>
        </w:rPr>
        <w:t xml:space="preserve">exceptional </w:t>
      </w:r>
      <w:r w:rsidR="00CC6C89" w:rsidRPr="00505F89">
        <w:rPr>
          <w:rFonts w:ascii="Times New Roman" w:eastAsia="MyriadPro-Regular" w:hAnsi="Times New Roman" w:cs="Times New Roman"/>
          <w:color w:val="231F20"/>
          <w:sz w:val="24"/>
          <w:szCs w:val="24"/>
        </w:rPr>
        <w:t>distribution ratios via extraction or ultrafiltration.</w:t>
      </w:r>
    </w:p>
    <w:p w14:paraId="6A6D3283" w14:textId="19783397" w:rsidR="00E55755" w:rsidRPr="00505F89" w:rsidRDefault="00E55755" w:rsidP="00F85417">
      <w:pPr>
        <w:spacing w:line="276" w:lineRule="auto"/>
        <w:jc w:val="both"/>
        <w:rPr>
          <w:rFonts w:ascii="Times New Roman" w:hAnsi="Times New Roman" w:cs="Times New Roman"/>
          <w:b/>
          <w:bCs/>
          <w:sz w:val="24"/>
          <w:szCs w:val="24"/>
        </w:rPr>
      </w:pPr>
      <w:r w:rsidRPr="00505F89">
        <w:rPr>
          <w:rFonts w:ascii="Times New Roman" w:hAnsi="Times New Roman" w:cs="Times New Roman"/>
          <w:b/>
          <w:bCs/>
          <w:sz w:val="24"/>
          <w:szCs w:val="24"/>
        </w:rPr>
        <w:t xml:space="preserve">References. </w:t>
      </w:r>
    </w:p>
    <w:p w14:paraId="4F5DB0E4" w14:textId="77777777" w:rsidR="00DF4502" w:rsidRPr="00505F89" w:rsidRDefault="00E55755" w:rsidP="00F85417">
      <w:pPr>
        <w:pStyle w:val="EndNoteBibliography"/>
        <w:spacing w:after="0" w:line="276" w:lineRule="auto"/>
        <w:rPr>
          <w:rFonts w:ascii="Times New Roman" w:hAnsi="Times New Roman" w:cs="Times New Roman"/>
          <w:sz w:val="24"/>
          <w:szCs w:val="24"/>
        </w:rPr>
      </w:pPr>
      <w:r w:rsidRPr="00505F89">
        <w:rPr>
          <w:rFonts w:ascii="Times New Roman" w:hAnsi="Times New Roman" w:cs="Times New Roman"/>
          <w:sz w:val="24"/>
          <w:szCs w:val="24"/>
        </w:rPr>
        <w:fldChar w:fldCharType="begin"/>
      </w:r>
      <w:r w:rsidRPr="00505F89">
        <w:rPr>
          <w:rFonts w:ascii="Times New Roman" w:hAnsi="Times New Roman" w:cs="Times New Roman"/>
          <w:sz w:val="24"/>
          <w:szCs w:val="24"/>
        </w:rPr>
        <w:instrText xml:space="preserve"> ADDIN EN.REFLIST </w:instrText>
      </w:r>
      <w:r w:rsidRPr="00505F89">
        <w:rPr>
          <w:rFonts w:ascii="Times New Roman" w:hAnsi="Times New Roman" w:cs="Times New Roman"/>
          <w:sz w:val="24"/>
          <w:szCs w:val="24"/>
        </w:rPr>
        <w:fldChar w:fldCharType="separate"/>
      </w:r>
      <w:r w:rsidR="00DF4502" w:rsidRPr="00505F89">
        <w:rPr>
          <w:rFonts w:ascii="Times New Roman" w:hAnsi="Times New Roman" w:cs="Times New Roman"/>
          <w:sz w:val="24"/>
          <w:szCs w:val="24"/>
        </w:rPr>
        <w:t>1.</w:t>
      </w:r>
      <w:r w:rsidR="00DF4502" w:rsidRPr="00505F89">
        <w:rPr>
          <w:rFonts w:ascii="Times New Roman" w:hAnsi="Times New Roman" w:cs="Times New Roman"/>
          <w:sz w:val="24"/>
          <w:szCs w:val="24"/>
        </w:rPr>
        <w:tab/>
      </w:r>
      <w:r w:rsidR="00DF4502" w:rsidRPr="00505F89">
        <w:rPr>
          <w:rFonts w:ascii="Times New Roman" w:hAnsi="Times New Roman" w:cs="Times New Roman"/>
          <w:i/>
          <w:sz w:val="24"/>
          <w:szCs w:val="24"/>
        </w:rPr>
        <w:t>IAEA Annual Report for 2020</w:t>
      </w:r>
      <w:r w:rsidR="00DF4502" w:rsidRPr="00505F89">
        <w:rPr>
          <w:rFonts w:ascii="Times New Roman" w:hAnsi="Times New Roman" w:cs="Times New Roman"/>
          <w:sz w:val="24"/>
          <w:szCs w:val="24"/>
        </w:rPr>
        <w:t>; International Atomic Energy Agency 2020.</w:t>
      </w:r>
    </w:p>
    <w:p w14:paraId="0A91581E" w14:textId="77777777" w:rsidR="00DF4502" w:rsidRPr="00505F89" w:rsidRDefault="00DF4502" w:rsidP="00F85417">
      <w:pPr>
        <w:pStyle w:val="EndNoteBibliography"/>
        <w:spacing w:after="0" w:line="276" w:lineRule="auto"/>
        <w:rPr>
          <w:rFonts w:ascii="Times New Roman" w:hAnsi="Times New Roman" w:cs="Times New Roman"/>
          <w:sz w:val="24"/>
          <w:szCs w:val="24"/>
        </w:rPr>
      </w:pPr>
      <w:r w:rsidRPr="00505F89">
        <w:rPr>
          <w:rFonts w:ascii="Times New Roman" w:hAnsi="Times New Roman" w:cs="Times New Roman"/>
          <w:sz w:val="24"/>
          <w:szCs w:val="24"/>
        </w:rPr>
        <w:t>2.</w:t>
      </w:r>
      <w:r w:rsidRPr="00505F89">
        <w:rPr>
          <w:rFonts w:ascii="Times New Roman" w:hAnsi="Times New Roman" w:cs="Times New Roman"/>
          <w:sz w:val="24"/>
          <w:szCs w:val="24"/>
        </w:rPr>
        <w:tab/>
        <w:t xml:space="preserve">Beltrami, D.;  Cote, G.;  Mokhtari, H.;  Courtaud, B.;  Moyer, B. A.; Chagnes, A., Recovery of Uranium from Wet Phosphoric Acid by Solvent Extraction Processes. </w:t>
      </w:r>
      <w:r w:rsidRPr="00505F89">
        <w:rPr>
          <w:rFonts w:ascii="Times New Roman" w:hAnsi="Times New Roman" w:cs="Times New Roman"/>
          <w:i/>
          <w:sz w:val="24"/>
          <w:szCs w:val="24"/>
        </w:rPr>
        <w:t xml:space="preserve">Chemical Reviews </w:t>
      </w:r>
      <w:r w:rsidRPr="00505F89">
        <w:rPr>
          <w:rFonts w:ascii="Times New Roman" w:hAnsi="Times New Roman" w:cs="Times New Roman"/>
          <w:b/>
          <w:sz w:val="24"/>
          <w:szCs w:val="24"/>
        </w:rPr>
        <w:t>2014,</w:t>
      </w:r>
      <w:r w:rsidRPr="00505F89">
        <w:rPr>
          <w:rFonts w:ascii="Times New Roman" w:hAnsi="Times New Roman" w:cs="Times New Roman"/>
          <w:sz w:val="24"/>
          <w:szCs w:val="24"/>
        </w:rPr>
        <w:t xml:space="preserve"> </w:t>
      </w:r>
      <w:r w:rsidRPr="00505F89">
        <w:rPr>
          <w:rFonts w:ascii="Times New Roman" w:hAnsi="Times New Roman" w:cs="Times New Roman"/>
          <w:i/>
          <w:sz w:val="24"/>
          <w:szCs w:val="24"/>
        </w:rPr>
        <w:t>114</w:t>
      </w:r>
      <w:r w:rsidRPr="00505F89">
        <w:rPr>
          <w:rFonts w:ascii="Times New Roman" w:hAnsi="Times New Roman" w:cs="Times New Roman"/>
          <w:sz w:val="24"/>
          <w:szCs w:val="24"/>
        </w:rPr>
        <w:t xml:space="preserve"> (24), 12002-12023.</w:t>
      </w:r>
    </w:p>
    <w:p w14:paraId="3FFC1520" w14:textId="77777777" w:rsidR="00DF4502" w:rsidRPr="00505F89" w:rsidRDefault="00DF4502" w:rsidP="00F85417">
      <w:pPr>
        <w:pStyle w:val="EndNoteBibliography"/>
        <w:spacing w:after="0" w:line="276" w:lineRule="auto"/>
        <w:rPr>
          <w:rFonts w:ascii="Times New Roman" w:hAnsi="Times New Roman" w:cs="Times New Roman"/>
          <w:sz w:val="24"/>
          <w:szCs w:val="24"/>
        </w:rPr>
      </w:pPr>
      <w:r w:rsidRPr="00505F89">
        <w:rPr>
          <w:rFonts w:ascii="Times New Roman" w:hAnsi="Times New Roman" w:cs="Times New Roman"/>
          <w:sz w:val="24"/>
          <w:szCs w:val="24"/>
        </w:rPr>
        <w:t>3.</w:t>
      </w:r>
      <w:r w:rsidRPr="00505F89">
        <w:rPr>
          <w:rFonts w:ascii="Times New Roman" w:hAnsi="Times New Roman" w:cs="Times New Roman"/>
          <w:sz w:val="24"/>
          <w:szCs w:val="24"/>
        </w:rPr>
        <w:tab/>
        <w:t xml:space="preserve">Neal, H. A.;  Szymanowski, J.;  Fein, J. B.;  Burns, P. C.; Nyman, M., Benchmarking Uranyl Peroxide Capsule Chemistry in Organic Media. </w:t>
      </w:r>
      <w:r w:rsidRPr="00505F89">
        <w:rPr>
          <w:rFonts w:ascii="Times New Roman" w:hAnsi="Times New Roman" w:cs="Times New Roman"/>
          <w:i/>
          <w:sz w:val="24"/>
          <w:szCs w:val="24"/>
        </w:rPr>
        <w:t xml:space="preserve">European Journal of Inoraganc Chemistry </w:t>
      </w:r>
      <w:r w:rsidRPr="00505F89">
        <w:rPr>
          <w:rFonts w:ascii="Times New Roman" w:hAnsi="Times New Roman" w:cs="Times New Roman"/>
          <w:b/>
          <w:sz w:val="24"/>
          <w:szCs w:val="24"/>
        </w:rPr>
        <w:t>2017,</w:t>
      </w:r>
      <w:r w:rsidRPr="00505F89">
        <w:rPr>
          <w:rFonts w:ascii="Times New Roman" w:hAnsi="Times New Roman" w:cs="Times New Roman"/>
          <w:sz w:val="24"/>
          <w:szCs w:val="24"/>
        </w:rPr>
        <w:t xml:space="preserve"> </w:t>
      </w:r>
      <w:r w:rsidRPr="00505F89">
        <w:rPr>
          <w:rFonts w:ascii="Times New Roman" w:hAnsi="Times New Roman" w:cs="Times New Roman"/>
          <w:i/>
          <w:sz w:val="24"/>
          <w:szCs w:val="24"/>
        </w:rPr>
        <w:t>2017</w:t>
      </w:r>
      <w:r w:rsidRPr="00505F89">
        <w:rPr>
          <w:rFonts w:ascii="Times New Roman" w:hAnsi="Times New Roman" w:cs="Times New Roman"/>
          <w:sz w:val="24"/>
          <w:szCs w:val="24"/>
        </w:rPr>
        <w:t xml:space="preserve"> (1), 39-46.</w:t>
      </w:r>
    </w:p>
    <w:p w14:paraId="3EBAC822" w14:textId="77777777" w:rsidR="00DF4502" w:rsidRPr="00505F89" w:rsidRDefault="00DF4502" w:rsidP="00F85417">
      <w:pPr>
        <w:pStyle w:val="EndNoteBibliography"/>
        <w:spacing w:after="0" w:line="276" w:lineRule="auto"/>
        <w:rPr>
          <w:rFonts w:ascii="Times New Roman" w:hAnsi="Times New Roman" w:cs="Times New Roman"/>
          <w:sz w:val="24"/>
          <w:szCs w:val="24"/>
        </w:rPr>
      </w:pPr>
      <w:r w:rsidRPr="00505F89">
        <w:rPr>
          <w:rFonts w:ascii="Times New Roman" w:hAnsi="Times New Roman" w:cs="Times New Roman"/>
          <w:sz w:val="24"/>
          <w:szCs w:val="24"/>
        </w:rPr>
        <w:t>4.</w:t>
      </w:r>
      <w:r w:rsidRPr="00505F89">
        <w:rPr>
          <w:rFonts w:ascii="Times New Roman" w:hAnsi="Times New Roman" w:cs="Times New Roman"/>
          <w:sz w:val="24"/>
          <w:szCs w:val="24"/>
        </w:rPr>
        <w:tab/>
        <w:t xml:space="preserve">Burns, P. C.;  Kubatko, K.-A.;  Sigmon, G.;  Fryer, B. J.;  Gagnon, J. E.;  Antonio, M. R.; Soderholm, L., Actinyl Peroxide Nanospheres. </w:t>
      </w:r>
      <w:r w:rsidRPr="00505F89">
        <w:rPr>
          <w:rFonts w:ascii="Times New Roman" w:hAnsi="Times New Roman" w:cs="Times New Roman"/>
          <w:b/>
          <w:sz w:val="24"/>
          <w:szCs w:val="24"/>
        </w:rPr>
        <w:t>2005,</w:t>
      </w:r>
      <w:r w:rsidRPr="00505F89">
        <w:rPr>
          <w:rFonts w:ascii="Times New Roman" w:hAnsi="Times New Roman" w:cs="Times New Roman"/>
          <w:sz w:val="24"/>
          <w:szCs w:val="24"/>
        </w:rPr>
        <w:t xml:space="preserve"> </w:t>
      </w:r>
      <w:r w:rsidRPr="00505F89">
        <w:rPr>
          <w:rFonts w:ascii="Times New Roman" w:hAnsi="Times New Roman" w:cs="Times New Roman"/>
          <w:i/>
          <w:sz w:val="24"/>
          <w:szCs w:val="24"/>
        </w:rPr>
        <w:t>44</w:t>
      </w:r>
      <w:r w:rsidRPr="00505F89">
        <w:rPr>
          <w:rFonts w:ascii="Times New Roman" w:hAnsi="Times New Roman" w:cs="Times New Roman"/>
          <w:sz w:val="24"/>
          <w:szCs w:val="24"/>
        </w:rPr>
        <w:t xml:space="preserve"> (14), 2135-2139.</w:t>
      </w:r>
    </w:p>
    <w:p w14:paraId="0A39B570" w14:textId="77777777" w:rsidR="00DF4502" w:rsidRPr="00505F89" w:rsidRDefault="00DF4502" w:rsidP="00F85417">
      <w:pPr>
        <w:pStyle w:val="EndNoteBibliography"/>
        <w:spacing w:after="0" w:line="276" w:lineRule="auto"/>
        <w:rPr>
          <w:rFonts w:ascii="Times New Roman" w:hAnsi="Times New Roman" w:cs="Times New Roman"/>
          <w:sz w:val="24"/>
          <w:szCs w:val="24"/>
        </w:rPr>
      </w:pPr>
      <w:r w:rsidRPr="00505F89">
        <w:rPr>
          <w:rFonts w:ascii="Times New Roman" w:hAnsi="Times New Roman" w:cs="Times New Roman"/>
          <w:sz w:val="24"/>
          <w:szCs w:val="24"/>
        </w:rPr>
        <w:t>5.</w:t>
      </w:r>
      <w:r w:rsidRPr="00505F89">
        <w:rPr>
          <w:rFonts w:ascii="Times New Roman" w:hAnsi="Times New Roman" w:cs="Times New Roman"/>
          <w:sz w:val="24"/>
          <w:szCs w:val="24"/>
        </w:rPr>
        <w:tab/>
        <w:t xml:space="preserve">Burns, P. C.; Nyman, M., Captivation with encapsulation: a dozen years of exploring uranyl peroxide capsules. </w:t>
      </w:r>
      <w:r w:rsidRPr="00505F89">
        <w:rPr>
          <w:rFonts w:ascii="Times New Roman" w:hAnsi="Times New Roman" w:cs="Times New Roman"/>
          <w:i/>
          <w:sz w:val="24"/>
          <w:szCs w:val="24"/>
        </w:rPr>
        <w:t xml:space="preserve">Dalton Transactions </w:t>
      </w:r>
      <w:r w:rsidRPr="00505F89">
        <w:rPr>
          <w:rFonts w:ascii="Times New Roman" w:hAnsi="Times New Roman" w:cs="Times New Roman"/>
          <w:b/>
          <w:sz w:val="24"/>
          <w:szCs w:val="24"/>
        </w:rPr>
        <w:t>2018,</w:t>
      </w:r>
      <w:r w:rsidRPr="00505F89">
        <w:rPr>
          <w:rFonts w:ascii="Times New Roman" w:hAnsi="Times New Roman" w:cs="Times New Roman"/>
          <w:sz w:val="24"/>
          <w:szCs w:val="24"/>
        </w:rPr>
        <w:t xml:space="preserve"> </w:t>
      </w:r>
      <w:r w:rsidRPr="00505F89">
        <w:rPr>
          <w:rFonts w:ascii="Times New Roman" w:hAnsi="Times New Roman" w:cs="Times New Roman"/>
          <w:i/>
          <w:sz w:val="24"/>
          <w:szCs w:val="24"/>
        </w:rPr>
        <w:t>47</w:t>
      </w:r>
      <w:r w:rsidRPr="00505F89">
        <w:rPr>
          <w:rFonts w:ascii="Times New Roman" w:hAnsi="Times New Roman" w:cs="Times New Roman"/>
          <w:sz w:val="24"/>
          <w:szCs w:val="24"/>
        </w:rPr>
        <w:t xml:space="preserve"> (17), 5916-5927.</w:t>
      </w:r>
    </w:p>
    <w:p w14:paraId="5B07092B" w14:textId="77777777" w:rsidR="00DF4502" w:rsidRPr="00505F89" w:rsidRDefault="00DF4502" w:rsidP="00F85417">
      <w:pPr>
        <w:pStyle w:val="EndNoteBibliography"/>
        <w:spacing w:after="0" w:line="276" w:lineRule="auto"/>
        <w:rPr>
          <w:rFonts w:ascii="Times New Roman" w:hAnsi="Times New Roman" w:cs="Times New Roman"/>
          <w:sz w:val="24"/>
          <w:szCs w:val="24"/>
        </w:rPr>
      </w:pPr>
      <w:r w:rsidRPr="00505F89">
        <w:rPr>
          <w:rFonts w:ascii="Times New Roman" w:hAnsi="Times New Roman" w:cs="Times New Roman"/>
          <w:sz w:val="24"/>
          <w:szCs w:val="24"/>
        </w:rPr>
        <w:t>6.</w:t>
      </w:r>
      <w:r w:rsidRPr="00505F89">
        <w:rPr>
          <w:rFonts w:ascii="Times New Roman" w:hAnsi="Times New Roman" w:cs="Times New Roman"/>
          <w:sz w:val="24"/>
          <w:szCs w:val="24"/>
        </w:rPr>
        <w:tab/>
        <w:t xml:space="preserve">Wylie, E. M.;  Peruski, K. M.;  Weidman, J. L.;  Phillip, W. A.; Burns, P. C., Ultrafiltration of Uranyl Peroxide Nanoclusters for the Separation of Uranium from Aqueous Solution. </w:t>
      </w:r>
      <w:r w:rsidRPr="00505F89">
        <w:rPr>
          <w:rFonts w:ascii="Times New Roman" w:hAnsi="Times New Roman" w:cs="Times New Roman"/>
          <w:i/>
          <w:sz w:val="24"/>
          <w:szCs w:val="24"/>
        </w:rPr>
        <w:t xml:space="preserve">ACS applied materials &amp; interfaces </w:t>
      </w:r>
      <w:r w:rsidRPr="00505F89">
        <w:rPr>
          <w:rFonts w:ascii="Times New Roman" w:hAnsi="Times New Roman" w:cs="Times New Roman"/>
          <w:b/>
          <w:sz w:val="24"/>
          <w:szCs w:val="24"/>
        </w:rPr>
        <w:t>2014,</w:t>
      </w:r>
      <w:r w:rsidRPr="00505F89">
        <w:rPr>
          <w:rFonts w:ascii="Times New Roman" w:hAnsi="Times New Roman" w:cs="Times New Roman"/>
          <w:sz w:val="24"/>
          <w:szCs w:val="24"/>
        </w:rPr>
        <w:t xml:space="preserve"> </w:t>
      </w:r>
      <w:r w:rsidRPr="00505F89">
        <w:rPr>
          <w:rFonts w:ascii="Times New Roman" w:hAnsi="Times New Roman" w:cs="Times New Roman"/>
          <w:i/>
          <w:sz w:val="24"/>
          <w:szCs w:val="24"/>
        </w:rPr>
        <w:t>6</w:t>
      </w:r>
      <w:r w:rsidRPr="00505F89">
        <w:rPr>
          <w:rFonts w:ascii="Times New Roman" w:hAnsi="Times New Roman" w:cs="Times New Roman"/>
          <w:sz w:val="24"/>
          <w:szCs w:val="24"/>
        </w:rPr>
        <w:t xml:space="preserve"> (1), 473-479.</w:t>
      </w:r>
    </w:p>
    <w:p w14:paraId="00FC780D" w14:textId="77777777" w:rsidR="00DF4502" w:rsidRPr="00505F89" w:rsidRDefault="00DF4502" w:rsidP="00F85417">
      <w:pPr>
        <w:pStyle w:val="EndNoteBibliography"/>
        <w:spacing w:line="276" w:lineRule="auto"/>
        <w:rPr>
          <w:rFonts w:ascii="Times New Roman" w:hAnsi="Times New Roman" w:cs="Times New Roman"/>
          <w:sz w:val="24"/>
          <w:szCs w:val="24"/>
        </w:rPr>
      </w:pPr>
      <w:r w:rsidRPr="00505F89">
        <w:rPr>
          <w:rFonts w:ascii="Times New Roman" w:hAnsi="Times New Roman" w:cs="Times New Roman"/>
          <w:sz w:val="24"/>
          <w:szCs w:val="24"/>
        </w:rPr>
        <w:t>7.</w:t>
      </w:r>
      <w:r w:rsidRPr="00505F89">
        <w:rPr>
          <w:rFonts w:ascii="Times New Roman" w:hAnsi="Times New Roman" w:cs="Times New Roman"/>
          <w:sz w:val="24"/>
          <w:szCs w:val="24"/>
        </w:rPr>
        <w:tab/>
        <w:t xml:space="preserve">Mei, L.;  Ren, P.;  Wu, Q.-y.;  Ke, Y.-b.;  Geng, J.-s.;  Liu, K.;  Xing, X.-q.;  Huang, Z.-w.;  Hu, K.-q.;  Liu, Y.-l.;  Yuan, L.-y.;  Mo, G.;  Wu, Z.-h.;  Gibson, J. K.;  Chai, Z.-f.; Shi, W.-q., Actinide Separation Inspired by Self-Assembled Metal–Polyphenolic Nanocages. </w:t>
      </w:r>
      <w:r w:rsidRPr="00505F89">
        <w:rPr>
          <w:rFonts w:ascii="Times New Roman" w:hAnsi="Times New Roman" w:cs="Times New Roman"/>
          <w:i/>
          <w:sz w:val="24"/>
          <w:szCs w:val="24"/>
        </w:rPr>
        <w:t xml:space="preserve">Journal of the American Chemical Society </w:t>
      </w:r>
      <w:r w:rsidRPr="00505F89">
        <w:rPr>
          <w:rFonts w:ascii="Times New Roman" w:hAnsi="Times New Roman" w:cs="Times New Roman"/>
          <w:b/>
          <w:sz w:val="24"/>
          <w:szCs w:val="24"/>
        </w:rPr>
        <w:t>2020,</w:t>
      </w:r>
      <w:r w:rsidRPr="00505F89">
        <w:rPr>
          <w:rFonts w:ascii="Times New Roman" w:hAnsi="Times New Roman" w:cs="Times New Roman"/>
          <w:sz w:val="24"/>
          <w:szCs w:val="24"/>
        </w:rPr>
        <w:t xml:space="preserve"> </w:t>
      </w:r>
      <w:r w:rsidRPr="00505F89">
        <w:rPr>
          <w:rFonts w:ascii="Times New Roman" w:hAnsi="Times New Roman" w:cs="Times New Roman"/>
          <w:i/>
          <w:sz w:val="24"/>
          <w:szCs w:val="24"/>
        </w:rPr>
        <w:t>142</w:t>
      </w:r>
      <w:r w:rsidRPr="00505F89">
        <w:rPr>
          <w:rFonts w:ascii="Times New Roman" w:hAnsi="Times New Roman" w:cs="Times New Roman"/>
          <w:sz w:val="24"/>
          <w:szCs w:val="24"/>
        </w:rPr>
        <w:t xml:space="preserve"> (39), 16538-16545.</w:t>
      </w:r>
    </w:p>
    <w:p w14:paraId="2B10728C" w14:textId="595E7DF1" w:rsidR="002D0548" w:rsidRPr="00505F89" w:rsidRDefault="00E55755" w:rsidP="00F85417">
      <w:pPr>
        <w:spacing w:line="276" w:lineRule="auto"/>
        <w:rPr>
          <w:rFonts w:ascii="Times New Roman" w:hAnsi="Times New Roman" w:cs="Times New Roman"/>
          <w:sz w:val="24"/>
          <w:szCs w:val="24"/>
        </w:rPr>
      </w:pPr>
      <w:r w:rsidRPr="00505F89">
        <w:rPr>
          <w:rFonts w:ascii="Times New Roman" w:hAnsi="Times New Roman" w:cs="Times New Roman"/>
          <w:sz w:val="24"/>
          <w:szCs w:val="24"/>
        </w:rPr>
        <w:fldChar w:fldCharType="end"/>
      </w:r>
    </w:p>
    <w:sectPr w:rsidR="002D0548" w:rsidRPr="00505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Pro-Regular">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5rxa2te7frr21efrtj5evr8vxrresw5vawx&quot;&gt;My EndNote Library&lt;record-ids&gt;&lt;item&gt;27&lt;/item&gt;&lt;item&gt;29&lt;/item&gt;&lt;item&gt;30&lt;/item&gt;&lt;item&gt;31&lt;/item&gt;&lt;item&gt;33&lt;/item&gt;&lt;item&gt;36&lt;/item&gt;&lt;item&gt;37&lt;/item&gt;&lt;item&gt;39&lt;/item&gt;&lt;item&gt;40&lt;/item&gt;&lt;/record-ids&gt;&lt;/item&gt;&lt;/Libraries&gt;"/>
  </w:docVars>
  <w:rsids>
    <w:rsidRoot w:val="00E55755"/>
    <w:rsid w:val="000022B7"/>
    <w:rsid w:val="000C1358"/>
    <w:rsid w:val="000D4F75"/>
    <w:rsid w:val="00161C9D"/>
    <w:rsid w:val="0016721B"/>
    <w:rsid w:val="001B47F3"/>
    <w:rsid w:val="00282CA5"/>
    <w:rsid w:val="002B762A"/>
    <w:rsid w:val="002D0548"/>
    <w:rsid w:val="002F26C8"/>
    <w:rsid w:val="00344E30"/>
    <w:rsid w:val="00346F12"/>
    <w:rsid w:val="003765B6"/>
    <w:rsid w:val="003B1C7B"/>
    <w:rsid w:val="00404D30"/>
    <w:rsid w:val="00420D7B"/>
    <w:rsid w:val="00445347"/>
    <w:rsid w:val="00471F0B"/>
    <w:rsid w:val="00505F89"/>
    <w:rsid w:val="00507B9C"/>
    <w:rsid w:val="005E0D25"/>
    <w:rsid w:val="0060594E"/>
    <w:rsid w:val="006346E8"/>
    <w:rsid w:val="00661F76"/>
    <w:rsid w:val="006C7EF9"/>
    <w:rsid w:val="006F1CD4"/>
    <w:rsid w:val="0073641D"/>
    <w:rsid w:val="00781F51"/>
    <w:rsid w:val="00791C32"/>
    <w:rsid w:val="008402E9"/>
    <w:rsid w:val="00865AEA"/>
    <w:rsid w:val="008966B8"/>
    <w:rsid w:val="00962F8B"/>
    <w:rsid w:val="009D6AA1"/>
    <w:rsid w:val="00A3398D"/>
    <w:rsid w:val="00AA2A1B"/>
    <w:rsid w:val="00B35164"/>
    <w:rsid w:val="00BA2D5E"/>
    <w:rsid w:val="00BF625D"/>
    <w:rsid w:val="00C03E98"/>
    <w:rsid w:val="00C346C5"/>
    <w:rsid w:val="00CB2374"/>
    <w:rsid w:val="00CC6C89"/>
    <w:rsid w:val="00D07B50"/>
    <w:rsid w:val="00D40D2E"/>
    <w:rsid w:val="00D47E4F"/>
    <w:rsid w:val="00DE0D43"/>
    <w:rsid w:val="00DE11C4"/>
    <w:rsid w:val="00DF4502"/>
    <w:rsid w:val="00E20AB1"/>
    <w:rsid w:val="00E55755"/>
    <w:rsid w:val="00E92A8A"/>
    <w:rsid w:val="00E959B8"/>
    <w:rsid w:val="00F50948"/>
    <w:rsid w:val="00F720B9"/>
    <w:rsid w:val="00F85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84EE8"/>
  <w15:chartTrackingRefBased/>
  <w15:docId w15:val="{18C13B6B-3209-472E-A8BC-60702C6EF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75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rsid w:val="00E5575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E55755"/>
    <w:rPr>
      <w:rFonts w:ascii="Calibri" w:hAnsi="Calibri" w:cs="Calibri"/>
      <w:noProof/>
    </w:rPr>
  </w:style>
  <w:style w:type="paragraph" w:customStyle="1" w:styleId="EndNoteBibliographyTitle">
    <w:name w:val="EndNote Bibliography Title"/>
    <w:basedOn w:val="Normal"/>
    <w:link w:val="EndNoteBibliographyTitleChar"/>
    <w:rsid w:val="00E5575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55755"/>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2946</Words>
  <Characters>16798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Ansar, Hamza</dc:creator>
  <cp:keywords/>
  <dc:description/>
  <cp:lastModifiedBy>Ansar, Hamza</cp:lastModifiedBy>
  <cp:revision>54</cp:revision>
  <dcterms:created xsi:type="dcterms:W3CDTF">2022-10-13T01:06:00Z</dcterms:created>
  <dcterms:modified xsi:type="dcterms:W3CDTF">2022-10-13T19:13:00Z</dcterms:modified>
</cp:coreProperties>
</file>